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A6DD9E9" w:rsidR="00AB5176" w:rsidRDefault="00964541">
      <w:pPr>
        <w:spacing w:after="0" w:line="360" w:lineRule="auto"/>
        <w:jc w:val="center"/>
        <w:rPr>
          <w:i/>
          <w:sz w:val="24"/>
          <w:szCs w:val="24"/>
        </w:rPr>
      </w:pPr>
      <w:r w:rsidRPr="00481376">
        <w:rPr>
          <w:i/>
          <w:noProof/>
          <w:sz w:val="24"/>
          <w:szCs w:val="24"/>
        </w:rPr>
        <mc:AlternateContent>
          <mc:Choice Requires="wps">
            <w:drawing>
              <wp:anchor distT="45720" distB="45720" distL="114300" distR="114300" simplePos="0" relativeHeight="251659264" behindDoc="0" locked="0" layoutInCell="1" allowOverlap="1" wp14:anchorId="234D98F6" wp14:editId="4DC8AB7C">
                <wp:simplePos x="0" y="0"/>
                <wp:positionH relativeFrom="margin">
                  <wp:align>left</wp:align>
                </wp:positionH>
                <wp:positionV relativeFrom="paragraph">
                  <wp:posOffset>634</wp:posOffset>
                </wp:positionV>
                <wp:extent cx="6296025" cy="871537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715375"/>
                        </a:xfrm>
                        <a:prstGeom prst="rect">
                          <a:avLst/>
                        </a:prstGeom>
                        <a:solidFill>
                          <a:srgbClr val="FFFFFF"/>
                        </a:solidFill>
                        <a:ln w="9525">
                          <a:noFill/>
                          <a:miter lim="800000"/>
                          <a:headEnd/>
                          <a:tailEnd/>
                        </a:ln>
                      </wps:spPr>
                      <wps:txbx>
                        <w:txbxContent>
                          <w:p w14:paraId="44DE15E1" w14:textId="77777777" w:rsidR="00964541" w:rsidRPr="007B4716" w:rsidRDefault="00964541" w:rsidP="00964541">
                            <w:pPr>
                              <w:jc w:val="center"/>
                              <w:rPr>
                                <w:rStyle w:val="fontstyle01"/>
                                <w:b w:val="0"/>
                                <w:sz w:val="24"/>
                                <w:szCs w:val="24"/>
                              </w:rPr>
                            </w:pPr>
                            <w:r w:rsidRPr="007B4716">
                              <w:rPr>
                                <w:rStyle w:val="fontstyle01"/>
                                <w:sz w:val="24"/>
                                <w:szCs w:val="24"/>
                              </w:rPr>
                              <w:t>PLANO PLURIANUAL DE AÇÃO</w:t>
                            </w:r>
                            <w:r w:rsidRPr="007B4716">
                              <w:rPr>
                                <w:b/>
                                <w:bCs/>
                                <w:color w:val="000000"/>
                                <w:sz w:val="24"/>
                                <w:szCs w:val="24"/>
                              </w:rPr>
                              <w:br/>
                            </w:r>
                            <w:r w:rsidRPr="007B4716">
                              <w:rPr>
                                <w:rStyle w:val="fontstyle01"/>
                                <w:sz w:val="24"/>
                                <w:szCs w:val="24"/>
                              </w:rPr>
                              <w:t>GOVERNAMENTAL</w:t>
                            </w:r>
                            <w:r w:rsidRPr="007B4716">
                              <w:rPr>
                                <w:b/>
                                <w:bCs/>
                                <w:color w:val="000000"/>
                                <w:sz w:val="24"/>
                                <w:szCs w:val="24"/>
                              </w:rPr>
                              <w:br/>
                            </w:r>
                            <w:r w:rsidRPr="007B4716">
                              <w:rPr>
                                <w:rStyle w:val="fontstyle01"/>
                                <w:sz w:val="24"/>
                                <w:szCs w:val="24"/>
                              </w:rPr>
                              <w:t>2020 – 2023</w:t>
                            </w:r>
                          </w:p>
                          <w:p w14:paraId="16FA26E4" w14:textId="77777777" w:rsidR="00964541" w:rsidRDefault="00964541" w:rsidP="00964541">
                            <w:pPr>
                              <w:jc w:val="center"/>
                              <w:rPr>
                                <w:rStyle w:val="fontstyle01"/>
                                <w:sz w:val="52"/>
                                <w:szCs w:val="52"/>
                              </w:rPr>
                            </w:pPr>
                          </w:p>
                          <w:p w14:paraId="15B2BD9D" w14:textId="77777777" w:rsidR="00964541" w:rsidRDefault="00964541" w:rsidP="00964541">
                            <w:pPr>
                              <w:jc w:val="center"/>
                              <w:rPr>
                                <w:rStyle w:val="fontstyle01"/>
                                <w:sz w:val="52"/>
                                <w:szCs w:val="52"/>
                              </w:rPr>
                            </w:pPr>
                          </w:p>
                          <w:p w14:paraId="05210023" w14:textId="77777777" w:rsidR="00964541" w:rsidRPr="00481376" w:rsidRDefault="00964541" w:rsidP="00964541">
                            <w:pPr>
                              <w:jc w:val="center"/>
                              <w:rPr>
                                <w:rStyle w:val="fontstyle01"/>
                                <w:sz w:val="52"/>
                                <w:szCs w:val="52"/>
                              </w:rPr>
                            </w:pPr>
                          </w:p>
                          <w:p w14:paraId="5E0EF8DC" w14:textId="2F335D27" w:rsidR="00964541" w:rsidRPr="007B4716" w:rsidRDefault="00964541" w:rsidP="00964541">
                            <w:pPr>
                              <w:jc w:val="center"/>
                              <w:rPr>
                                <w:rStyle w:val="fontstyle01"/>
                                <w:sz w:val="52"/>
                                <w:szCs w:val="52"/>
                              </w:rPr>
                            </w:pPr>
                            <w:r w:rsidRPr="007B4716">
                              <w:rPr>
                                <w:rStyle w:val="fontstyle01"/>
                                <w:sz w:val="52"/>
                                <w:szCs w:val="52"/>
                              </w:rPr>
                              <w:t>RELATÓRIO INSTIT</w:t>
                            </w:r>
                            <w:r>
                              <w:rPr>
                                <w:rStyle w:val="fontstyle01"/>
                                <w:sz w:val="52"/>
                                <w:szCs w:val="52"/>
                              </w:rPr>
                              <w:t>UCIONAL DE MONITORAMENTO – BOLETIM SOCIAL</w:t>
                            </w:r>
                            <w:r w:rsidRPr="007B4716">
                              <w:rPr>
                                <w:rStyle w:val="fontstyle01"/>
                                <w:sz w:val="52"/>
                                <w:szCs w:val="52"/>
                              </w:rPr>
                              <w:t xml:space="preserve"> </w:t>
                            </w:r>
                          </w:p>
                          <w:p w14:paraId="7F6DE7F6" w14:textId="77777777" w:rsidR="00964541" w:rsidRDefault="00964541" w:rsidP="00964541">
                            <w:pPr>
                              <w:jc w:val="center"/>
                              <w:rPr>
                                <w:rStyle w:val="fontstyle01"/>
                                <w:sz w:val="52"/>
                                <w:szCs w:val="52"/>
                              </w:rPr>
                            </w:pPr>
                          </w:p>
                          <w:p w14:paraId="3668B29E" w14:textId="77777777" w:rsidR="00964541" w:rsidRDefault="00964541" w:rsidP="00964541">
                            <w:pPr>
                              <w:jc w:val="center"/>
                              <w:rPr>
                                <w:rStyle w:val="fontstyle01"/>
                                <w:sz w:val="52"/>
                                <w:szCs w:val="52"/>
                              </w:rPr>
                            </w:pPr>
                          </w:p>
                          <w:p w14:paraId="699920C0" w14:textId="77777777" w:rsidR="00964541" w:rsidRDefault="00964541" w:rsidP="00964541">
                            <w:pPr>
                              <w:jc w:val="center"/>
                              <w:rPr>
                                <w:rStyle w:val="fontstyle01"/>
                                <w:sz w:val="52"/>
                                <w:szCs w:val="52"/>
                              </w:rPr>
                            </w:pPr>
                          </w:p>
                          <w:p w14:paraId="328A5F49" w14:textId="77777777" w:rsidR="00964541" w:rsidRDefault="00964541" w:rsidP="00964541">
                            <w:pPr>
                              <w:jc w:val="center"/>
                              <w:rPr>
                                <w:rStyle w:val="fontstyle01"/>
                                <w:sz w:val="52"/>
                                <w:szCs w:val="52"/>
                              </w:rPr>
                            </w:pPr>
                          </w:p>
                          <w:p w14:paraId="01763ED4" w14:textId="77777777" w:rsidR="00964541" w:rsidRDefault="00964541" w:rsidP="00964541">
                            <w:pPr>
                              <w:jc w:val="center"/>
                              <w:rPr>
                                <w:rStyle w:val="fontstyle01"/>
                                <w:sz w:val="24"/>
                                <w:szCs w:val="24"/>
                              </w:rPr>
                            </w:pPr>
                          </w:p>
                          <w:p w14:paraId="3054ED2F" w14:textId="77777777" w:rsidR="00964541" w:rsidRDefault="00964541" w:rsidP="00964541">
                            <w:pPr>
                              <w:jc w:val="center"/>
                              <w:rPr>
                                <w:rStyle w:val="fontstyle01"/>
                                <w:sz w:val="24"/>
                                <w:szCs w:val="24"/>
                              </w:rPr>
                            </w:pPr>
                          </w:p>
                          <w:p w14:paraId="451BF752" w14:textId="77777777" w:rsidR="00964541" w:rsidRDefault="00964541" w:rsidP="00964541">
                            <w:pPr>
                              <w:jc w:val="center"/>
                              <w:rPr>
                                <w:rStyle w:val="fontstyle01"/>
                                <w:sz w:val="24"/>
                                <w:szCs w:val="24"/>
                              </w:rPr>
                            </w:pPr>
                          </w:p>
                          <w:p w14:paraId="5CEBE28F" w14:textId="3CA4591E" w:rsidR="00964541" w:rsidRDefault="00964541" w:rsidP="00964541">
                            <w:pPr>
                              <w:jc w:val="center"/>
                              <w:rPr>
                                <w:rStyle w:val="fontstyle01"/>
                                <w:sz w:val="24"/>
                                <w:szCs w:val="24"/>
                              </w:rPr>
                            </w:pPr>
                          </w:p>
                          <w:p w14:paraId="07FBA354" w14:textId="5BB56F4F" w:rsidR="00964541" w:rsidRDefault="00964541" w:rsidP="00964541">
                            <w:pPr>
                              <w:jc w:val="center"/>
                              <w:rPr>
                                <w:rStyle w:val="fontstyle01"/>
                                <w:sz w:val="24"/>
                                <w:szCs w:val="24"/>
                              </w:rPr>
                            </w:pPr>
                          </w:p>
                          <w:p w14:paraId="5A7C0077" w14:textId="77777777" w:rsidR="00964541" w:rsidRDefault="00964541" w:rsidP="00964541">
                            <w:pPr>
                              <w:jc w:val="center"/>
                              <w:rPr>
                                <w:rStyle w:val="fontstyle01"/>
                                <w:sz w:val="24"/>
                                <w:szCs w:val="24"/>
                              </w:rPr>
                            </w:pPr>
                          </w:p>
                          <w:p w14:paraId="605F8155" w14:textId="77777777" w:rsidR="00964541" w:rsidRPr="007B4716" w:rsidRDefault="00964541" w:rsidP="00964541">
                            <w:pPr>
                              <w:jc w:val="center"/>
                              <w:rPr>
                                <w:rStyle w:val="fontstyle01"/>
                                <w:b w:val="0"/>
                                <w:sz w:val="24"/>
                                <w:szCs w:val="24"/>
                              </w:rPr>
                            </w:pPr>
                            <w:r w:rsidRPr="007B4716">
                              <w:rPr>
                                <w:rStyle w:val="fontstyle01"/>
                                <w:sz w:val="24"/>
                                <w:szCs w:val="24"/>
                              </w:rPr>
                              <w:t>1º bimestre/2020</w:t>
                            </w:r>
                          </w:p>
                          <w:p w14:paraId="4AF17D9C" w14:textId="77777777" w:rsidR="00964541" w:rsidRDefault="00964541" w:rsidP="009645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D98F6" id="_x0000_t202" coordsize="21600,21600" o:spt="202" path="m,l,21600r21600,l21600,xe">
                <v:stroke joinstyle="miter"/>
                <v:path gradientshapeok="t" o:connecttype="rect"/>
              </v:shapetype>
              <v:shape id="Caixa de Texto 2" o:spid="_x0000_s1026" type="#_x0000_t202" style="position:absolute;left:0;text-align:left;margin-left:0;margin-top:.05pt;width:495.75pt;height:6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" stroked="f">
                <v:textbox>
                  <w:txbxContent>
                    <w:p w14:paraId="44DE15E1" w14:textId="77777777" w:rsidR="00964541" w:rsidRPr="007B4716" w:rsidRDefault="00964541" w:rsidP="00964541">
                      <w:pPr>
                        <w:jc w:val="center"/>
                        <w:rPr>
                          <w:rStyle w:val="fontstyle01"/>
                          <w:b w:val="0"/>
                          <w:sz w:val="24"/>
                          <w:szCs w:val="24"/>
                        </w:rPr>
                      </w:pPr>
                      <w:r w:rsidRPr="007B4716">
                        <w:rPr>
                          <w:rStyle w:val="fontstyle01"/>
                          <w:sz w:val="24"/>
                          <w:szCs w:val="24"/>
                        </w:rPr>
                        <w:t>PLANO PLURIANUAL DE AÇÃO</w:t>
                      </w:r>
                      <w:r w:rsidRPr="007B4716">
                        <w:rPr>
                          <w:b/>
                          <w:bCs/>
                          <w:color w:val="000000"/>
                          <w:sz w:val="24"/>
                          <w:szCs w:val="24"/>
                        </w:rPr>
                        <w:br/>
                      </w:r>
                      <w:r w:rsidRPr="007B4716">
                        <w:rPr>
                          <w:rStyle w:val="fontstyle01"/>
                          <w:sz w:val="24"/>
                          <w:szCs w:val="24"/>
                        </w:rPr>
                        <w:t>GOVERNAMENTAL</w:t>
                      </w:r>
                      <w:r w:rsidRPr="007B4716">
                        <w:rPr>
                          <w:b/>
                          <w:bCs/>
                          <w:color w:val="000000"/>
                          <w:sz w:val="24"/>
                          <w:szCs w:val="24"/>
                        </w:rPr>
                        <w:br/>
                      </w:r>
                      <w:r w:rsidRPr="007B4716">
                        <w:rPr>
                          <w:rStyle w:val="fontstyle01"/>
                          <w:sz w:val="24"/>
                          <w:szCs w:val="24"/>
                        </w:rPr>
                        <w:t>2020 – 2023</w:t>
                      </w:r>
                    </w:p>
                    <w:p w14:paraId="16FA26E4" w14:textId="77777777" w:rsidR="00964541" w:rsidRDefault="00964541" w:rsidP="00964541">
                      <w:pPr>
                        <w:jc w:val="center"/>
                        <w:rPr>
                          <w:rStyle w:val="fontstyle01"/>
                          <w:sz w:val="52"/>
                          <w:szCs w:val="52"/>
                        </w:rPr>
                      </w:pPr>
                    </w:p>
                    <w:p w14:paraId="15B2BD9D" w14:textId="77777777" w:rsidR="00964541" w:rsidRDefault="00964541" w:rsidP="00964541">
                      <w:pPr>
                        <w:jc w:val="center"/>
                        <w:rPr>
                          <w:rStyle w:val="fontstyle01"/>
                          <w:sz w:val="52"/>
                          <w:szCs w:val="52"/>
                        </w:rPr>
                      </w:pPr>
                    </w:p>
                    <w:p w14:paraId="05210023" w14:textId="77777777" w:rsidR="00964541" w:rsidRPr="00481376" w:rsidRDefault="00964541" w:rsidP="00964541">
                      <w:pPr>
                        <w:jc w:val="center"/>
                        <w:rPr>
                          <w:rStyle w:val="fontstyle01"/>
                          <w:sz w:val="52"/>
                          <w:szCs w:val="52"/>
                        </w:rPr>
                      </w:pPr>
                    </w:p>
                    <w:p w14:paraId="5E0EF8DC" w14:textId="2F335D27" w:rsidR="00964541" w:rsidRPr="007B4716" w:rsidRDefault="00964541" w:rsidP="00964541">
                      <w:pPr>
                        <w:jc w:val="center"/>
                        <w:rPr>
                          <w:rStyle w:val="fontstyle01"/>
                          <w:sz w:val="52"/>
                          <w:szCs w:val="52"/>
                        </w:rPr>
                      </w:pPr>
                      <w:r w:rsidRPr="007B4716">
                        <w:rPr>
                          <w:rStyle w:val="fontstyle01"/>
                          <w:sz w:val="52"/>
                          <w:szCs w:val="52"/>
                        </w:rPr>
                        <w:t>RELATÓRIO INSTIT</w:t>
                      </w:r>
                      <w:r>
                        <w:rPr>
                          <w:rStyle w:val="fontstyle01"/>
                          <w:sz w:val="52"/>
                          <w:szCs w:val="52"/>
                        </w:rPr>
                        <w:t>UCIONAL DE MONITORAMENTO – BOLETIM SOCIAL</w:t>
                      </w:r>
                      <w:r w:rsidRPr="007B4716">
                        <w:rPr>
                          <w:rStyle w:val="fontstyle01"/>
                          <w:sz w:val="52"/>
                          <w:szCs w:val="52"/>
                        </w:rPr>
                        <w:t xml:space="preserve"> </w:t>
                      </w:r>
                    </w:p>
                    <w:p w14:paraId="7F6DE7F6" w14:textId="77777777" w:rsidR="00964541" w:rsidRDefault="00964541" w:rsidP="00964541">
                      <w:pPr>
                        <w:jc w:val="center"/>
                        <w:rPr>
                          <w:rStyle w:val="fontstyle01"/>
                          <w:sz w:val="52"/>
                          <w:szCs w:val="52"/>
                        </w:rPr>
                      </w:pPr>
                    </w:p>
                    <w:p w14:paraId="3668B29E" w14:textId="77777777" w:rsidR="00964541" w:rsidRDefault="00964541" w:rsidP="00964541">
                      <w:pPr>
                        <w:jc w:val="center"/>
                        <w:rPr>
                          <w:rStyle w:val="fontstyle01"/>
                          <w:sz w:val="52"/>
                          <w:szCs w:val="52"/>
                        </w:rPr>
                      </w:pPr>
                    </w:p>
                    <w:p w14:paraId="699920C0" w14:textId="77777777" w:rsidR="00964541" w:rsidRDefault="00964541" w:rsidP="00964541">
                      <w:pPr>
                        <w:jc w:val="center"/>
                        <w:rPr>
                          <w:rStyle w:val="fontstyle01"/>
                          <w:sz w:val="52"/>
                          <w:szCs w:val="52"/>
                        </w:rPr>
                      </w:pPr>
                    </w:p>
                    <w:p w14:paraId="328A5F49" w14:textId="77777777" w:rsidR="00964541" w:rsidRDefault="00964541" w:rsidP="00964541">
                      <w:pPr>
                        <w:jc w:val="center"/>
                        <w:rPr>
                          <w:rStyle w:val="fontstyle01"/>
                          <w:sz w:val="52"/>
                          <w:szCs w:val="52"/>
                        </w:rPr>
                      </w:pPr>
                    </w:p>
                    <w:p w14:paraId="01763ED4" w14:textId="77777777" w:rsidR="00964541" w:rsidRDefault="00964541" w:rsidP="00964541">
                      <w:pPr>
                        <w:jc w:val="center"/>
                        <w:rPr>
                          <w:rStyle w:val="fontstyle01"/>
                          <w:sz w:val="24"/>
                          <w:szCs w:val="24"/>
                        </w:rPr>
                      </w:pPr>
                    </w:p>
                    <w:p w14:paraId="3054ED2F" w14:textId="77777777" w:rsidR="00964541" w:rsidRDefault="00964541" w:rsidP="00964541">
                      <w:pPr>
                        <w:jc w:val="center"/>
                        <w:rPr>
                          <w:rStyle w:val="fontstyle01"/>
                          <w:sz w:val="24"/>
                          <w:szCs w:val="24"/>
                        </w:rPr>
                      </w:pPr>
                    </w:p>
                    <w:p w14:paraId="451BF752" w14:textId="77777777" w:rsidR="00964541" w:rsidRDefault="00964541" w:rsidP="00964541">
                      <w:pPr>
                        <w:jc w:val="center"/>
                        <w:rPr>
                          <w:rStyle w:val="fontstyle01"/>
                          <w:sz w:val="24"/>
                          <w:szCs w:val="24"/>
                        </w:rPr>
                      </w:pPr>
                    </w:p>
                    <w:p w14:paraId="5CEBE28F" w14:textId="3CA4591E" w:rsidR="00964541" w:rsidRDefault="00964541" w:rsidP="00964541">
                      <w:pPr>
                        <w:jc w:val="center"/>
                        <w:rPr>
                          <w:rStyle w:val="fontstyle01"/>
                          <w:sz w:val="24"/>
                          <w:szCs w:val="24"/>
                        </w:rPr>
                      </w:pPr>
                    </w:p>
                    <w:p w14:paraId="07FBA354" w14:textId="5BB56F4F" w:rsidR="00964541" w:rsidRDefault="00964541" w:rsidP="00964541">
                      <w:pPr>
                        <w:jc w:val="center"/>
                        <w:rPr>
                          <w:rStyle w:val="fontstyle01"/>
                          <w:sz w:val="24"/>
                          <w:szCs w:val="24"/>
                        </w:rPr>
                      </w:pPr>
                    </w:p>
                    <w:p w14:paraId="5A7C0077" w14:textId="77777777" w:rsidR="00964541" w:rsidRDefault="00964541" w:rsidP="00964541">
                      <w:pPr>
                        <w:jc w:val="center"/>
                        <w:rPr>
                          <w:rStyle w:val="fontstyle01"/>
                          <w:sz w:val="24"/>
                          <w:szCs w:val="24"/>
                        </w:rPr>
                      </w:pPr>
                    </w:p>
                    <w:p w14:paraId="605F8155" w14:textId="77777777" w:rsidR="00964541" w:rsidRPr="007B4716" w:rsidRDefault="00964541" w:rsidP="00964541">
                      <w:pPr>
                        <w:jc w:val="center"/>
                        <w:rPr>
                          <w:rStyle w:val="fontstyle01"/>
                          <w:b w:val="0"/>
                          <w:sz w:val="24"/>
                          <w:szCs w:val="24"/>
                        </w:rPr>
                      </w:pPr>
                      <w:r w:rsidRPr="007B4716">
                        <w:rPr>
                          <w:rStyle w:val="fontstyle01"/>
                          <w:sz w:val="24"/>
                          <w:szCs w:val="24"/>
                        </w:rPr>
                        <w:t>1º bimestre/2020</w:t>
                      </w:r>
                    </w:p>
                    <w:p w14:paraId="4AF17D9C" w14:textId="77777777" w:rsidR="00964541" w:rsidRDefault="00964541" w:rsidP="00964541">
                      <w:pPr>
                        <w:jc w:val="center"/>
                      </w:pPr>
                    </w:p>
                  </w:txbxContent>
                </v:textbox>
                <w10:wrap type="square" anchorx="margin"/>
              </v:shape>
            </w:pict>
          </mc:Fallback>
        </mc:AlternateContent>
      </w:r>
    </w:p>
    <w:p w14:paraId="0000001C" w14:textId="11B9FF8A" w:rsidR="00AB5176" w:rsidRDefault="00AB5176">
      <w:pPr>
        <w:rPr>
          <w:sz w:val="24"/>
          <w:szCs w:val="24"/>
        </w:rPr>
      </w:pPr>
    </w:p>
    <w:p w14:paraId="0000001D" w14:textId="393C2003" w:rsidR="00AB5176" w:rsidRPr="00964541" w:rsidRDefault="00A3524F" w:rsidP="00964541">
      <w:pPr>
        <w:numPr>
          <w:ilvl w:val="0"/>
          <w:numId w:val="6"/>
        </w:numPr>
        <w:pBdr>
          <w:top w:val="nil"/>
          <w:left w:val="nil"/>
          <w:bottom w:val="nil"/>
          <w:right w:val="nil"/>
          <w:between w:val="nil"/>
        </w:pBdr>
        <w:spacing w:before="100" w:beforeAutospacing="1" w:after="100" w:afterAutospacing="1" w:line="360" w:lineRule="auto"/>
        <w:ind w:left="357" w:hanging="357"/>
        <w:jc w:val="both"/>
        <w:rPr>
          <w:rFonts w:asciiTheme="minorHAnsi" w:hAnsiTheme="minorHAnsi" w:cstheme="minorHAnsi"/>
          <w:b/>
          <w:color w:val="000000"/>
          <w:sz w:val="24"/>
          <w:szCs w:val="24"/>
        </w:rPr>
      </w:pPr>
      <w:sdt>
        <w:sdtPr>
          <w:rPr>
            <w:rFonts w:asciiTheme="minorHAnsi" w:hAnsiTheme="minorHAnsi" w:cstheme="minorHAnsi"/>
            <w:sz w:val="24"/>
            <w:szCs w:val="24"/>
          </w:rPr>
          <w:tag w:val="goog_rdk_2"/>
          <w:id w:val="-805237153"/>
          <w:showingPlcHdr/>
        </w:sdtPr>
        <w:sdtEndPr/>
        <w:sdtContent>
          <w:r w:rsidR="00964541" w:rsidRPr="00964541">
            <w:rPr>
              <w:rFonts w:asciiTheme="minorHAnsi" w:hAnsiTheme="minorHAnsi" w:cstheme="minorHAnsi"/>
              <w:sz w:val="24"/>
              <w:szCs w:val="24"/>
            </w:rPr>
            <w:t xml:space="preserve">     </w:t>
          </w:r>
        </w:sdtContent>
      </w:sdt>
      <w:sdt>
        <w:sdtPr>
          <w:rPr>
            <w:rFonts w:asciiTheme="minorHAnsi" w:hAnsiTheme="minorHAnsi" w:cstheme="minorHAnsi"/>
            <w:sz w:val="24"/>
            <w:szCs w:val="24"/>
          </w:rPr>
          <w:tag w:val="goog_rdk_3"/>
          <w:id w:val="-1536574805"/>
        </w:sdtPr>
        <w:sdtEndPr/>
        <w:sdtContent/>
      </w:sdt>
      <w:r w:rsidR="000D46B7" w:rsidRPr="00964541">
        <w:rPr>
          <w:rFonts w:asciiTheme="minorHAnsi" w:hAnsiTheme="minorHAnsi" w:cstheme="minorHAnsi"/>
          <w:b/>
          <w:color w:val="000000"/>
          <w:sz w:val="24"/>
          <w:szCs w:val="24"/>
        </w:rPr>
        <w:t>INTRODUÇÃO</w:t>
      </w:r>
    </w:p>
    <w:p w14:paraId="0000001F" w14:textId="3338D54A" w:rsidR="00AB5176" w:rsidRPr="00964541" w:rsidRDefault="00964541" w:rsidP="00964541">
      <w:pPr>
        <w:pBdr>
          <w:top w:val="nil"/>
          <w:left w:val="nil"/>
          <w:bottom w:val="nil"/>
          <w:right w:val="nil"/>
          <w:between w:val="nil"/>
        </w:pBdr>
        <w:spacing w:before="100" w:beforeAutospacing="1" w:after="100" w:afterAutospacing="1" w:line="360" w:lineRule="auto"/>
        <w:ind w:firstLine="357"/>
        <w:jc w:val="both"/>
        <w:rPr>
          <w:rFonts w:asciiTheme="minorHAnsi" w:hAnsiTheme="minorHAnsi" w:cstheme="minorHAnsi"/>
          <w:sz w:val="24"/>
          <w:szCs w:val="24"/>
        </w:rPr>
      </w:pPr>
      <w:r w:rsidRPr="00964541">
        <w:rPr>
          <w:rFonts w:asciiTheme="minorHAnsi" w:hAnsiTheme="minorHAnsi" w:cstheme="minorHAnsi"/>
          <w:sz w:val="24"/>
          <w:szCs w:val="24"/>
        </w:rPr>
        <w:t>Com o propósito de viabilizar maior transparência e controle social das políticas soc</w:t>
      </w:r>
      <w:r>
        <w:rPr>
          <w:rFonts w:asciiTheme="minorHAnsi" w:hAnsiTheme="minorHAnsi" w:cstheme="minorHAnsi"/>
          <w:sz w:val="24"/>
          <w:szCs w:val="24"/>
        </w:rPr>
        <w:t xml:space="preserve">iais incumbidas ao Estado, </w:t>
      </w:r>
      <w:r w:rsidRPr="00964541">
        <w:rPr>
          <w:rFonts w:asciiTheme="minorHAnsi" w:hAnsiTheme="minorHAnsi" w:cstheme="minorHAnsi"/>
          <w:sz w:val="24"/>
          <w:szCs w:val="24"/>
        </w:rPr>
        <w:t>o desempenho dos programas sociais é acompanhado bimestralmente neste      relatório, conforme determina o inciso VI do art. 52 da Lei Estadual nº 23.364, de 25 de julho de 2019 (Lei de Diretrizes Orçamentárias 2020) e o inciso II do art. 11 da Lei Estadual nº 23.578/2020 (Lei que institui o PPAG 2020-2023):</w:t>
      </w:r>
    </w:p>
    <w:p w14:paraId="00000020"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 xml:space="preserve">Art. </w:t>
      </w:r>
      <w:r w:rsidRPr="00964541">
        <w:rPr>
          <w:rFonts w:asciiTheme="minorHAnsi" w:hAnsiTheme="minorHAnsi" w:cstheme="minorHAnsi"/>
          <w:sz w:val="20"/>
          <w:szCs w:val="20"/>
        </w:rPr>
        <w:t>52</w:t>
      </w:r>
      <w:r w:rsidRPr="00964541">
        <w:rPr>
          <w:rFonts w:asciiTheme="minorHAnsi" w:hAnsiTheme="minorHAnsi" w:cstheme="minorHAnsi"/>
          <w:color w:val="000000"/>
          <w:sz w:val="20"/>
          <w:szCs w:val="20"/>
        </w:rPr>
        <w:t xml:space="preserve"> – </w:t>
      </w:r>
      <w:r w:rsidRPr="00964541">
        <w:rPr>
          <w:rFonts w:asciiTheme="minorHAnsi" w:hAnsiTheme="minorHAnsi" w:cstheme="minorHAnsi"/>
          <w:sz w:val="20"/>
          <w:szCs w:val="20"/>
        </w:rPr>
        <w:t>Para fins de transparência da gestão fiscal e em observância ao princípio da publicidade, o Poder Executivo tornará disponíveis na internet, no Portal da Transparência do Estado de Minas Gerais, as seguintes informações de interesse público:</w:t>
      </w:r>
    </w:p>
    <w:p w14:paraId="00000021"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w:t>
      </w:r>
    </w:p>
    <w:p w14:paraId="00000022"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 xml:space="preserve">VI – </w:t>
      </w:r>
      <w:r w:rsidRPr="00964541">
        <w:rPr>
          <w:rFonts w:asciiTheme="minorHAnsi" w:hAnsiTheme="minorHAnsi" w:cstheme="minorHAnsi"/>
          <w:sz w:val="20"/>
          <w:szCs w:val="20"/>
        </w:rPr>
        <w:t>o demonstrativo de acompanhamento bimestral do desempenho dos programas sociais, de maneira a cumprir o prescrito no art. 8º da Lei nº 15.011, de 15 de janeiro de 2004; (Lei nº 23.364/2019 - LDO 2020)</w:t>
      </w:r>
    </w:p>
    <w:p w14:paraId="00000023" w14:textId="77777777" w:rsidR="00AB5176" w:rsidRPr="00964541" w:rsidRDefault="00AB5176" w:rsidP="00964541">
      <w:pPr>
        <w:pBdr>
          <w:top w:val="nil"/>
          <w:left w:val="nil"/>
          <w:bottom w:val="nil"/>
          <w:right w:val="nil"/>
          <w:between w:val="nil"/>
        </w:pBdr>
        <w:spacing w:after="0" w:line="240" w:lineRule="auto"/>
        <w:contextualSpacing/>
        <w:jc w:val="both"/>
        <w:rPr>
          <w:rFonts w:asciiTheme="minorHAnsi" w:hAnsiTheme="minorHAnsi" w:cstheme="minorHAnsi"/>
          <w:color w:val="000000"/>
          <w:sz w:val="20"/>
          <w:szCs w:val="20"/>
        </w:rPr>
      </w:pPr>
    </w:p>
    <w:p w14:paraId="00000024"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 xml:space="preserve">Art. 11 – </w:t>
      </w:r>
      <w:r w:rsidRPr="00964541">
        <w:rPr>
          <w:rFonts w:asciiTheme="minorHAnsi" w:hAnsiTheme="minorHAnsi" w:cstheme="minorHAnsi"/>
          <w:sz w:val="20"/>
          <w:szCs w:val="20"/>
        </w:rPr>
        <w:t>Para fins de monitoramento do PPAG 2020-2023, serão elaborados relatórios institucionais de monitoramento, os quais terão periodicidade bimestral e conterão, no mínimo, os seguintes documentos:</w:t>
      </w:r>
    </w:p>
    <w:p w14:paraId="00000025"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w:t>
      </w:r>
    </w:p>
    <w:p w14:paraId="00000026"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 xml:space="preserve">II – </w:t>
      </w:r>
      <w:r w:rsidRPr="00964541">
        <w:rPr>
          <w:rFonts w:asciiTheme="minorHAnsi" w:hAnsiTheme="minorHAnsi" w:cstheme="minorHAnsi"/>
          <w:sz w:val="20"/>
          <w:szCs w:val="20"/>
        </w:rPr>
        <w:t>demonstrativo de desempenho das ações que compõem os programas sociais;</w:t>
      </w:r>
    </w:p>
    <w:p w14:paraId="00000027"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w:t>
      </w:r>
    </w:p>
    <w:p w14:paraId="00000028" w14:textId="77777777" w:rsidR="00AB5176" w:rsidRPr="00964541" w:rsidRDefault="000D46B7" w:rsidP="00964541">
      <w:pPr>
        <w:pBdr>
          <w:top w:val="nil"/>
          <w:left w:val="nil"/>
          <w:bottom w:val="nil"/>
          <w:right w:val="nil"/>
          <w:between w:val="nil"/>
        </w:pBdr>
        <w:spacing w:after="0" w:line="240" w:lineRule="auto"/>
        <w:ind w:left="1560"/>
        <w:contextualSpacing/>
        <w:jc w:val="both"/>
        <w:rPr>
          <w:rFonts w:asciiTheme="minorHAnsi" w:hAnsiTheme="minorHAnsi" w:cstheme="minorHAnsi"/>
          <w:color w:val="000000"/>
          <w:sz w:val="20"/>
          <w:szCs w:val="20"/>
        </w:rPr>
      </w:pPr>
      <w:r w:rsidRPr="00964541">
        <w:rPr>
          <w:rFonts w:asciiTheme="minorHAnsi" w:hAnsiTheme="minorHAnsi" w:cstheme="minorHAnsi"/>
          <w:color w:val="000000"/>
          <w:sz w:val="20"/>
          <w:szCs w:val="20"/>
        </w:rPr>
        <w:t xml:space="preserve">§ 1º – </w:t>
      </w:r>
      <w:r w:rsidRPr="00964541">
        <w:rPr>
          <w:rFonts w:asciiTheme="minorHAnsi" w:hAnsiTheme="minorHAnsi" w:cstheme="minorHAnsi"/>
          <w:sz w:val="20"/>
          <w:szCs w:val="20"/>
        </w:rPr>
        <w:t>Consideram-se programas sociais, para efeitos desta lei, as políticas orientadas para a emancipação social e cidadã, envolvendo programas precipuamente voltados para agricultura, assistência social, segurança alimentar, ciência e tecnologia, cultura, desporto e lazer, direitos humanos e de cidadania, educação, habitação, meio ambiente, organização agrária, previdência social, saneamento, saúde, segurança pública, trabalho, transporte e urbanismo.</w:t>
      </w:r>
      <w:r w:rsidRPr="00964541">
        <w:rPr>
          <w:rFonts w:asciiTheme="minorHAnsi" w:hAnsiTheme="minorHAnsi" w:cstheme="minorHAnsi"/>
          <w:color w:val="000000"/>
          <w:sz w:val="20"/>
          <w:szCs w:val="20"/>
        </w:rPr>
        <w:t xml:space="preserve"> (Lei nº 2</w:t>
      </w:r>
      <w:r w:rsidRPr="00964541">
        <w:rPr>
          <w:rFonts w:asciiTheme="minorHAnsi" w:hAnsiTheme="minorHAnsi" w:cstheme="minorHAnsi"/>
          <w:sz w:val="20"/>
          <w:szCs w:val="20"/>
        </w:rPr>
        <w:t>3</w:t>
      </w:r>
      <w:r w:rsidRPr="00964541">
        <w:rPr>
          <w:rFonts w:asciiTheme="minorHAnsi" w:hAnsiTheme="minorHAnsi" w:cstheme="minorHAnsi"/>
          <w:color w:val="000000"/>
          <w:sz w:val="20"/>
          <w:szCs w:val="20"/>
        </w:rPr>
        <w:t>.</w:t>
      </w:r>
      <w:r w:rsidRPr="00964541">
        <w:rPr>
          <w:rFonts w:asciiTheme="minorHAnsi" w:hAnsiTheme="minorHAnsi" w:cstheme="minorHAnsi"/>
          <w:sz w:val="20"/>
          <w:szCs w:val="20"/>
        </w:rPr>
        <w:t>57</w:t>
      </w:r>
      <w:r w:rsidRPr="00964541">
        <w:rPr>
          <w:rFonts w:asciiTheme="minorHAnsi" w:hAnsiTheme="minorHAnsi" w:cstheme="minorHAnsi"/>
          <w:color w:val="000000"/>
          <w:sz w:val="20"/>
          <w:szCs w:val="20"/>
        </w:rPr>
        <w:t>8/20</w:t>
      </w:r>
      <w:r w:rsidRPr="00964541">
        <w:rPr>
          <w:rFonts w:asciiTheme="minorHAnsi" w:hAnsiTheme="minorHAnsi" w:cstheme="minorHAnsi"/>
          <w:sz w:val="20"/>
          <w:szCs w:val="20"/>
        </w:rPr>
        <w:t>20</w:t>
      </w:r>
      <w:r w:rsidRPr="00964541">
        <w:rPr>
          <w:rFonts w:asciiTheme="minorHAnsi" w:hAnsiTheme="minorHAnsi" w:cstheme="minorHAnsi"/>
          <w:color w:val="000000"/>
          <w:sz w:val="20"/>
          <w:szCs w:val="20"/>
        </w:rPr>
        <w:t xml:space="preserve"> – PPAG 20</w:t>
      </w:r>
      <w:r w:rsidRPr="00964541">
        <w:rPr>
          <w:rFonts w:asciiTheme="minorHAnsi" w:hAnsiTheme="minorHAnsi" w:cstheme="minorHAnsi"/>
          <w:sz w:val="20"/>
          <w:szCs w:val="20"/>
        </w:rPr>
        <w:t>20</w:t>
      </w:r>
      <w:r w:rsidRPr="00964541">
        <w:rPr>
          <w:rFonts w:asciiTheme="minorHAnsi" w:hAnsiTheme="minorHAnsi" w:cstheme="minorHAnsi"/>
          <w:color w:val="000000"/>
          <w:sz w:val="20"/>
          <w:szCs w:val="20"/>
        </w:rPr>
        <w:t>-20</w:t>
      </w:r>
      <w:r w:rsidRPr="00964541">
        <w:rPr>
          <w:rFonts w:asciiTheme="minorHAnsi" w:hAnsiTheme="minorHAnsi" w:cstheme="minorHAnsi"/>
          <w:sz w:val="20"/>
          <w:szCs w:val="20"/>
        </w:rPr>
        <w:t>23</w:t>
      </w:r>
      <w:r w:rsidRPr="00964541">
        <w:rPr>
          <w:rFonts w:asciiTheme="minorHAnsi" w:hAnsiTheme="minorHAnsi" w:cstheme="minorHAnsi"/>
          <w:color w:val="000000"/>
          <w:sz w:val="20"/>
          <w:szCs w:val="20"/>
        </w:rPr>
        <w:t>)</w:t>
      </w:r>
    </w:p>
    <w:p w14:paraId="5DF29A9F" w14:textId="77777777" w:rsidR="00964541" w:rsidRDefault="00964541" w:rsidP="00964541">
      <w:pPr>
        <w:pBdr>
          <w:top w:val="nil"/>
          <w:left w:val="nil"/>
          <w:bottom w:val="nil"/>
          <w:right w:val="nil"/>
          <w:between w:val="nil"/>
        </w:pBdr>
        <w:spacing w:before="100" w:beforeAutospacing="1" w:after="100" w:afterAutospacing="1" w:line="360" w:lineRule="auto"/>
        <w:ind w:firstLine="357"/>
        <w:jc w:val="both"/>
        <w:rPr>
          <w:rFonts w:asciiTheme="minorHAnsi" w:hAnsiTheme="minorHAnsi" w:cstheme="minorHAnsi"/>
          <w:sz w:val="24"/>
          <w:szCs w:val="24"/>
        </w:rPr>
      </w:pPr>
      <w:r w:rsidRPr="00964541">
        <w:rPr>
          <w:rFonts w:asciiTheme="minorHAnsi" w:hAnsiTheme="minorHAnsi" w:cstheme="minorHAnsi"/>
          <w:sz w:val="24"/>
          <w:szCs w:val="24"/>
        </w:rPr>
        <w:t>Considerando o conteúdo da Portaria MOG nº 42/1999, a identificação dos programas sociais no PPA</w:t>
      </w:r>
      <w:r>
        <w:rPr>
          <w:rFonts w:asciiTheme="minorHAnsi" w:hAnsiTheme="minorHAnsi" w:cstheme="minorHAnsi"/>
          <w:sz w:val="24"/>
          <w:szCs w:val="24"/>
        </w:rPr>
        <w:t xml:space="preserve">G leva em consideração as </w:t>
      </w:r>
      <w:r w:rsidRPr="00964541">
        <w:rPr>
          <w:rFonts w:asciiTheme="minorHAnsi" w:hAnsiTheme="minorHAnsi" w:cstheme="minorHAnsi"/>
          <w:sz w:val="24"/>
          <w:szCs w:val="24"/>
        </w:rPr>
        <w:t>funções que representam cada uma das políticas públicas orientadas para a emancipaçã</w:t>
      </w:r>
      <w:r>
        <w:rPr>
          <w:rFonts w:asciiTheme="minorHAnsi" w:hAnsiTheme="minorHAnsi" w:cstheme="minorHAnsi"/>
          <w:sz w:val="24"/>
          <w:szCs w:val="24"/>
        </w:rPr>
        <w:t>o social e cidadã, a saber</w:t>
      </w:r>
      <w:r w:rsidRPr="00964541">
        <w:rPr>
          <w:rFonts w:asciiTheme="minorHAnsi" w:hAnsiTheme="minorHAnsi" w:cstheme="minorHAnsi"/>
          <w:sz w:val="24"/>
          <w:szCs w:val="24"/>
        </w:rPr>
        <w:t xml:space="preserve">: </w:t>
      </w:r>
    </w:p>
    <w:p w14:paraId="0000002B" w14:textId="4ADEBC82"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Agricultura (20)</w:t>
      </w:r>
    </w:p>
    <w:p w14:paraId="0000002C"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Assistência Social (08)</w:t>
      </w:r>
    </w:p>
    <w:p w14:paraId="0000002D" w14:textId="77777777" w:rsidR="00AB5176" w:rsidRPr="00964541" w:rsidRDefault="000D46B7" w:rsidP="00964541">
      <w:pPr>
        <w:numPr>
          <w:ilvl w:val="0"/>
          <w:numId w:val="1"/>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Ciência e Tecnologia (19)</w:t>
      </w:r>
    </w:p>
    <w:p w14:paraId="0000002E"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Cultura (13)</w:t>
      </w:r>
    </w:p>
    <w:p w14:paraId="0000002F"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Desporto e Lazer (27)</w:t>
      </w:r>
    </w:p>
    <w:p w14:paraId="00000030"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Direitos da Cidadania (14)</w:t>
      </w:r>
    </w:p>
    <w:p w14:paraId="00000031"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lastRenderedPageBreak/>
        <w:t>Educação (12)</w:t>
      </w:r>
    </w:p>
    <w:p w14:paraId="00000032" w14:textId="77777777" w:rsidR="00AB5176" w:rsidRPr="00964541" w:rsidRDefault="000D46B7" w:rsidP="00964541">
      <w:pPr>
        <w:numPr>
          <w:ilvl w:val="0"/>
          <w:numId w:val="1"/>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Gestão Ambiental (18)</w:t>
      </w:r>
    </w:p>
    <w:p w14:paraId="00000033"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Habitação (16)</w:t>
      </w:r>
    </w:p>
    <w:p w14:paraId="00000034"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Organização Agrária (21)</w:t>
      </w:r>
    </w:p>
    <w:p w14:paraId="00000035"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Previdência Social (09)</w:t>
      </w:r>
    </w:p>
    <w:p w14:paraId="00000036"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Saneamento (17)</w:t>
      </w:r>
    </w:p>
    <w:p w14:paraId="00000037"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Saúde (10)</w:t>
      </w:r>
    </w:p>
    <w:p w14:paraId="00000038"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Segurança Pública (06)</w:t>
      </w:r>
    </w:p>
    <w:p w14:paraId="00000039"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Trabalho (11)</w:t>
      </w:r>
    </w:p>
    <w:p w14:paraId="0000003A"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Transporte (26)</w:t>
      </w:r>
    </w:p>
    <w:p w14:paraId="0000003B" w14:textId="77777777" w:rsidR="00AB5176" w:rsidRPr="00964541" w:rsidRDefault="000D46B7" w:rsidP="00964541">
      <w:pPr>
        <w:numPr>
          <w:ilvl w:val="0"/>
          <w:numId w:val="1"/>
        </w:numPr>
        <w:pBdr>
          <w:top w:val="nil"/>
          <w:left w:val="nil"/>
          <w:bottom w:val="nil"/>
          <w:right w:val="nil"/>
          <w:between w:val="nil"/>
        </w:pBdr>
        <w:spacing w:before="100" w:beforeAutospacing="1" w:after="100" w:afterAutospacing="1" w:line="360" w:lineRule="auto"/>
        <w:jc w:val="both"/>
        <w:rPr>
          <w:rFonts w:asciiTheme="minorHAnsi" w:hAnsiTheme="minorHAnsi" w:cstheme="minorHAnsi"/>
          <w:color w:val="000000"/>
          <w:sz w:val="24"/>
          <w:szCs w:val="24"/>
        </w:rPr>
      </w:pPr>
      <w:r w:rsidRPr="00964541">
        <w:rPr>
          <w:rFonts w:asciiTheme="minorHAnsi" w:hAnsiTheme="minorHAnsi" w:cstheme="minorHAnsi"/>
          <w:color w:val="000000"/>
          <w:sz w:val="24"/>
          <w:szCs w:val="24"/>
        </w:rPr>
        <w:t>Urbanismo (15)</w:t>
      </w:r>
    </w:p>
    <w:p w14:paraId="0000003D" w14:textId="4836A671"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Dessa maneira, os programas considerados sociais </w:t>
      </w:r>
      <w:sdt>
        <w:sdtPr>
          <w:rPr>
            <w:rFonts w:asciiTheme="minorHAnsi" w:hAnsiTheme="minorHAnsi" w:cstheme="minorHAnsi"/>
            <w:sz w:val="24"/>
            <w:szCs w:val="24"/>
          </w:rPr>
          <w:tag w:val="goog_rdk_16"/>
          <w:id w:val="849597775"/>
          <w:showingPlcHdr/>
        </w:sdtPr>
        <w:sdtEndPr/>
        <w:sdtContent>
          <w:r w:rsidR="00964541">
            <w:rPr>
              <w:rFonts w:asciiTheme="minorHAnsi" w:hAnsiTheme="minorHAnsi" w:cstheme="minorHAnsi"/>
              <w:sz w:val="24"/>
              <w:szCs w:val="24"/>
            </w:rPr>
            <w:t xml:space="preserve">     </w:t>
          </w:r>
        </w:sdtContent>
      </w:sdt>
      <w:r w:rsidRPr="00964541">
        <w:rPr>
          <w:rFonts w:asciiTheme="minorHAnsi" w:hAnsiTheme="minorHAnsi" w:cstheme="minorHAnsi"/>
          <w:sz w:val="24"/>
          <w:szCs w:val="24"/>
        </w:rPr>
        <w:t>são aqueles em que as funções acima descritas representam mais de 50% do total das suas metas orçamentárias estipuladas no PPAG 2020-2023.</w:t>
      </w:r>
    </w:p>
    <w:p w14:paraId="0000003F" w14:textId="2AE68090" w:rsidR="00AB5176" w:rsidRPr="00964541" w:rsidRDefault="00964541"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Diante disso, </w:t>
      </w:r>
      <w:r>
        <w:rPr>
          <w:rFonts w:asciiTheme="minorHAnsi" w:hAnsiTheme="minorHAnsi" w:cstheme="minorHAnsi"/>
          <w:sz w:val="24"/>
          <w:szCs w:val="24"/>
        </w:rPr>
        <w:t>este</w:t>
      </w:r>
      <w:r w:rsidRPr="00964541">
        <w:rPr>
          <w:rFonts w:asciiTheme="minorHAnsi" w:hAnsiTheme="minorHAnsi" w:cstheme="minorHAnsi"/>
          <w:sz w:val="24"/>
          <w:szCs w:val="24"/>
        </w:rPr>
        <w:t xml:space="preserve"> documento, além do demonstrativo analítico institucionalizado conforme legislação supracitada, contém dados consolidados acerca da distribuição dos gastos programados e executados, o desempenho consolidado das ações dos programas sociais até o bimestre monitorado, além do detalhamento regionalizado dos dispêndios globais segundo as Regiões Intermediárias Geográficas do estado de Minas Gerais.</w:t>
      </w:r>
    </w:p>
    <w:p w14:paraId="00000040" w14:textId="77777777" w:rsidR="00AB5176" w:rsidRPr="00964541" w:rsidRDefault="000D46B7" w:rsidP="00964541">
      <w:pPr>
        <w:numPr>
          <w:ilvl w:val="0"/>
          <w:numId w:val="6"/>
        </w:numPr>
        <w:pBdr>
          <w:top w:val="nil"/>
          <w:left w:val="nil"/>
          <w:bottom w:val="nil"/>
          <w:right w:val="nil"/>
          <w:between w:val="nil"/>
        </w:pBdr>
        <w:spacing w:before="100" w:beforeAutospacing="1" w:after="100" w:afterAutospacing="1" w:line="360" w:lineRule="auto"/>
        <w:ind w:left="357" w:hanging="357"/>
        <w:jc w:val="both"/>
        <w:rPr>
          <w:rFonts w:asciiTheme="minorHAnsi" w:hAnsiTheme="minorHAnsi" w:cstheme="minorHAnsi"/>
          <w:b/>
          <w:color w:val="000000"/>
          <w:sz w:val="24"/>
          <w:szCs w:val="24"/>
        </w:rPr>
      </w:pPr>
      <w:r w:rsidRPr="00964541">
        <w:rPr>
          <w:rFonts w:asciiTheme="minorHAnsi" w:hAnsiTheme="minorHAnsi" w:cstheme="minorHAnsi"/>
          <w:b/>
          <w:color w:val="000000"/>
          <w:sz w:val="24"/>
          <w:szCs w:val="24"/>
        </w:rPr>
        <w:t>ANÁLISE CONSOLIDADA DA EXECUÇÃO DOS PROGRAMAS SOCIAIS</w:t>
      </w:r>
    </w:p>
    <w:p w14:paraId="00000042" w14:textId="7A1BBFA9" w:rsidR="00AB5176" w:rsidRPr="00964541" w:rsidRDefault="00A3524F" w:rsidP="00964541">
      <w:pPr>
        <w:numPr>
          <w:ilvl w:val="1"/>
          <w:numId w:val="6"/>
        </w:numPr>
        <w:pBdr>
          <w:top w:val="nil"/>
          <w:left w:val="nil"/>
          <w:bottom w:val="nil"/>
          <w:right w:val="nil"/>
          <w:between w:val="nil"/>
        </w:pBdr>
        <w:spacing w:before="100" w:beforeAutospacing="1" w:after="100" w:afterAutospacing="1" w:line="360" w:lineRule="auto"/>
        <w:ind w:left="714" w:hanging="357"/>
        <w:jc w:val="both"/>
        <w:rPr>
          <w:rFonts w:asciiTheme="minorHAnsi" w:hAnsiTheme="minorHAnsi" w:cstheme="minorHAnsi"/>
          <w:b/>
          <w:color w:val="000000"/>
          <w:sz w:val="24"/>
          <w:szCs w:val="24"/>
        </w:rPr>
      </w:pPr>
      <w:sdt>
        <w:sdtPr>
          <w:rPr>
            <w:rFonts w:asciiTheme="minorHAnsi" w:hAnsiTheme="minorHAnsi" w:cstheme="minorHAnsi"/>
            <w:sz w:val="24"/>
            <w:szCs w:val="24"/>
          </w:rPr>
          <w:tag w:val="goog_rdk_21"/>
          <w:id w:val="1388993380"/>
        </w:sdtPr>
        <w:sdtEndPr/>
        <w:sdtContent/>
      </w:sdt>
      <w:sdt>
        <w:sdtPr>
          <w:rPr>
            <w:rFonts w:asciiTheme="minorHAnsi" w:hAnsiTheme="minorHAnsi" w:cstheme="minorHAnsi"/>
            <w:sz w:val="24"/>
            <w:szCs w:val="24"/>
          </w:rPr>
          <w:tag w:val="goog_rdk_22"/>
          <w:id w:val="1332177502"/>
          <w:showingPlcHdr/>
        </w:sdtPr>
        <w:sdtEndPr/>
        <w:sdtContent>
          <w:r w:rsidR="00F13C70">
            <w:rPr>
              <w:rFonts w:asciiTheme="minorHAnsi" w:hAnsiTheme="minorHAnsi" w:cstheme="minorHAnsi"/>
              <w:sz w:val="24"/>
              <w:szCs w:val="24"/>
            </w:rPr>
            <w:t xml:space="preserve">     </w:t>
          </w:r>
        </w:sdtContent>
      </w:sdt>
      <w:r w:rsidR="000D46B7" w:rsidRPr="00964541">
        <w:rPr>
          <w:rFonts w:asciiTheme="minorHAnsi" w:hAnsiTheme="minorHAnsi" w:cstheme="minorHAnsi"/>
          <w:b/>
          <w:color w:val="000000"/>
          <w:sz w:val="24"/>
          <w:szCs w:val="24"/>
        </w:rPr>
        <w:t xml:space="preserve">EXECUÇÃO GLOBAL DOS PROGRAMAS SOCIAIS NO </w:t>
      </w:r>
      <w:r w:rsidR="000D46B7" w:rsidRPr="00964541">
        <w:rPr>
          <w:rFonts w:asciiTheme="minorHAnsi" w:hAnsiTheme="minorHAnsi" w:cstheme="minorHAnsi"/>
          <w:b/>
          <w:sz w:val="24"/>
          <w:szCs w:val="24"/>
        </w:rPr>
        <w:t>1</w:t>
      </w:r>
      <w:r w:rsidR="000D46B7" w:rsidRPr="00964541">
        <w:rPr>
          <w:rFonts w:asciiTheme="minorHAnsi" w:hAnsiTheme="minorHAnsi" w:cstheme="minorHAnsi"/>
          <w:b/>
          <w:color w:val="000000"/>
          <w:sz w:val="24"/>
          <w:szCs w:val="24"/>
        </w:rPr>
        <w:t>º BIMESTRE DE 20</w:t>
      </w:r>
      <w:r w:rsidR="000D46B7" w:rsidRPr="00964541">
        <w:rPr>
          <w:rFonts w:asciiTheme="minorHAnsi" w:hAnsiTheme="minorHAnsi" w:cstheme="minorHAnsi"/>
          <w:b/>
          <w:sz w:val="24"/>
          <w:szCs w:val="24"/>
        </w:rPr>
        <w:t>20</w:t>
      </w:r>
    </w:p>
    <w:p w14:paraId="00000043" w14:textId="77777777"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Nesta seção, a execução global é avaliada com base em diversos ângulos ou perspectivas de análise em confronto com os valores programados no PPAG, bem como perante aqueles detalhados até o período monitorado. </w:t>
      </w:r>
    </w:p>
    <w:p w14:paraId="00000044" w14:textId="77777777"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Cabe salientar que o valor programado decorre do desdobramento da meta fixada no PPAG ao longo dos meses que compõem o exercício corrente, tendo em conta aferir com antecedência a perspectiva de alcance ou não das metas estabelecidas no </w:t>
      </w:r>
      <w:r w:rsidRPr="00964541">
        <w:rPr>
          <w:rFonts w:asciiTheme="minorHAnsi" w:hAnsiTheme="minorHAnsi" w:cstheme="minorHAnsi"/>
          <w:sz w:val="24"/>
          <w:szCs w:val="24"/>
        </w:rPr>
        <w:lastRenderedPageBreak/>
        <w:t>plano e, se for o caso, a adoção tempestiva de contramedidas para garantir o desempenho satisfatório das intervenções. Ressalta-se que o desdobramento das metas é de responsabilidade dos gestores de cada ação e será registrado no Sistema de Informações Gerenciais e de Planejamento (SIGPlan), constituindo a base para avaliação da execução.</w:t>
      </w:r>
    </w:p>
    <w:p w14:paraId="00000045" w14:textId="041233FA" w:rsidR="00AB5176"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As ações que integram os programas sociais são executadas mediante recursos consignados no orçamento fiscal e no orçamento de investimento das empresas controladas pelo Estado. A Tabela 1 demonstra os valores globais aportados e realizados nesses programas, elencando-os por cada tipo de orçamento:</w:t>
      </w:r>
    </w:p>
    <w:p w14:paraId="00000047" w14:textId="64C5F74D" w:rsidR="00AB5176" w:rsidRDefault="00BF31F0" w:rsidP="007864F3">
      <w:pPr>
        <w:spacing w:after="0" w:line="240" w:lineRule="auto"/>
        <w:contextualSpacing/>
        <w:jc w:val="center"/>
      </w:pPr>
      <w:r w:rsidRPr="00BF31F0">
        <w:rPr>
          <w:rFonts w:asciiTheme="minorHAnsi" w:hAnsiTheme="minorHAnsi" w:cstheme="minorHAnsi"/>
          <w:b/>
          <w:sz w:val="24"/>
          <w:szCs w:val="24"/>
        </w:rPr>
        <w:t>Tabela 1</w:t>
      </w:r>
      <w:r>
        <w:rPr>
          <w:rFonts w:asciiTheme="minorHAnsi" w:hAnsiTheme="minorHAnsi" w:cstheme="minorHAnsi"/>
          <w:sz w:val="24"/>
          <w:szCs w:val="24"/>
        </w:rPr>
        <w:t xml:space="preserve"> - </w:t>
      </w:r>
      <w:r w:rsidRPr="00BF31F0">
        <w:rPr>
          <w:rFonts w:asciiTheme="minorHAnsi" w:hAnsiTheme="minorHAnsi" w:cstheme="minorHAnsi"/>
          <w:sz w:val="24"/>
          <w:szCs w:val="24"/>
        </w:rPr>
        <w:t>Programação e execução dos programas sociais por tipo de orçamento - Minas Gerais - 1º Bimestre de 2020</w:t>
      </w:r>
    </w:p>
    <w:p w14:paraId="19AD2FD3" w14:textId="03FFE7E3" w:rsidR="007864F3" w:rsidRPr="00964541" w:rsidRDefault="007864F3" w:rsidP="00BF31F0">
      <w:pPr>
        <w:spacing w:after="0" w:line="360" w:lineRule="auto"/>
        <w:contextualSpacing/>
        <w:jc w:val="center"/>
        <w:rPr>
          <w:rFonts w:asciiTheme="minorHAnsi" w:hAnsiTheme="minorHAnsi" w:cstheme="minorHAnsi"/>
          <w:sz w:val="24"/>
          <w:szCs w:val="24"/>
        </w:rPr>
      </w:pPr>
      <w:r w:rsidRPr="007864F3">
        <w:drawing>
          <wp:inline distT="0" distB="0" distL="0" distR="0" wp14:anchorId="3B49D335" wp14:editId="1CB43659">
            <wp:extent cx="5400040" cy="1225889"/>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25889"/>
                    </a:xfrm>
                    <a:prstGeom prst="rect">
                      <a:avLst/>
                    </a:prstGeom>
                    <a:noFill/>
                    <a:ln>
                      <a:noFill/>
                    </a:ln>
                  </pic:spPr>
                </pic:pic>
              </a:graphicData>
            </a:graphic>
          </wp:inline>
        </w:drawing>
      </w:r>
    </w:p>
    <w:p w14:paraId="00000048" w14:textId="77777777" w:rsidR="00AB5176" w:rsidRPr="00964541" w:rsidRDefault="00A3524F" w:rsidP="00964541">
      <w:pPr>
        <w:spacing w:before="100" w:beforeAutospacing="1" w:after="100" w:afterAutospacing="1" w:line="360" w:lineRule="auto"/>
        <w:ind w:firstLine="709"/>
        <w:jc w:val="both"/>
        <w:rPr>
          <w:rFonts w:asciiTheme="minorHAnsi" w:hAnsiTheme="minorHAnsi" w:cstheme="minorHAnsi"/>
          <w:sz w:val="24"/>
          <w:szCs w:val="24"/>
        </w:rPr>
      </w:pPr>
      <w:sdt>
        <w:sdtPr>
          <w:rPr>
            <w:rFonts w:asciiTheme="minorHAnsi" w:hAnsiTheme="minorHAnsi" w:cstheme="minorHAnsi"/>
            <w:sz w:val="24"/>
            <w:szCs w:val="24"/>
          </w:rPr>
          <w:tag w:val="goog_rdk_23"/>
          <w:id w:val="-1720886663"/>
        </w:sdtPr>
        <w:sdtEndPr/>
        <w:sdtContent/>
      </w:sdt>
      <w:r w:rsidR="000D46B7" w:rsidRPr="00964541">
        <w:rPr>
          <w:rFonts w:asciiTheme="minorHAnsi" w:hAnsiTheme="minorHAnsi" w:cstheme="minorHAnsi"/>
          <w:sz w:val="24"/>
          <w:szCs w:val="24"/>
        </w:rPr>
        <w:t>Neste contexto, cabe mencionar a preponderância do orçamento fiscal no financiamento dos programas sociais (97,65%) comparativamente ao orçamento de investimento das empresas controladas pelo Estado (2,35%). Houve também uma maior execução das ações do orçamento fiscal, em relação ao programado no bimestre (99,62%) comparativamente às ações do orçamento de investimento (50,12%). Já a análise global demonstra execução de 97,36 % em relação à programação do período.</w:t>
      </w:r>
    </w:p>
    <w:p w14:paraId="00000053" w14:textId="12DB4E8C"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De outra forma, a execução global dos programas sociais pode ser analisada a partir do tipo de acompanhamento que é dado a cada uma das ações do plano. Atualmente, as ações podem ser de dois tipos: Demais Projetos e Atividades e Projetos Estratégicos. Entende-se por ações de Projetos Estratégicos aquelas que representam as ações estratégicas de cada Eixo e das quais se espera os maiores impactos da atuação estatal. Tais ações compõem a linha fundamental de atuação do governo e possuem um acompanhamento diferenciado. Já as ações de Demais Projetos e Atividades são aquelas </w:t>
      </w:r>
      <w:r w:rsidRPr="00964541">
        <w:rPr>
          <w:rFonts w:asciiTheme="minorHAnsi" w:hAnsiTheme="minorHAnsi" w:cstheme="minorHAnsi"/>
          <w:sz w:val="24"/>
          <w:szCs w:val="24"/>
        </w:rPr>
        <w:lastRenderedPageBreak/>
        <w:t xml:space="preserve">que contemplam as prioridades setoriais e não estão diretamente vinculadas à linha fundamental de atuação governamental. Englobam também as ações com foco central na manutenção e melhoria da própria máquina pública. </w:t>
      </w:r>
    </w:p>
    <w:p w14:paraId="00000054" w14:textId="2A284E2C" w:rsidR="00AB5176"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Nesse sentido, a Tabela 2 apresenta a programação e execução dos programas sociais por tipo de acompanhamento: </w:t>
      </w:r>
    </w:p>
    <w:p w14:paraId="00000055" w14:textId="13CE63A6" w:rsidR="00AB5176" w:rsidRDefault="00BF31F0" w:rsidP="00BF31F0">
      <w:pPr>
        <w:tabs>
          <w:tab w:val="left" w:pos="8504"/>
        </w:tabs>
        <w:spacing w:after="0" w:line="240" w:lineRule="auto"/>
        <w:contextualSpacing/>
        <w:jc w:val="center"/>
      </w:pPr>
      <w:r w:rsidRPr="00BF31F0">
        <w:rPr>
          <w:rFonts w:asciiTheme="minorHAnsi" w:hAnsiTheme="minorHAnsi" w:cstheme="minorHAnsi"/>
          <w:b/>
          <w:sz w:val="24"/>
          <w:szCs w:val="24"/>
        </w:rPr>
        <w:t>Tabela 2</w:t>
      </w:r>
      <w:r>
        <w:rPr>
          <w:rFonts w:asciiTheme="minorHAnsi" w:hAnsiTheme="minorHAnsi" w:cstheme="minorHAnsi"/>
          <w:sz w:val="24"/>
          <w:szCs w:val="24"/>
        </w:rPr>
        <w:t xml:space="preserve"> - </w:t>
      </w:r>
      <w:r w:rsidRPr="00BF31F0">
        <w:rPr>
          <w:rFonts w:asciiTheme="minorHAnsi" w:hAnsiTheme="minorHAnsi" w:cstheme="minorHAnsi"/>
          <w:sz w:val="24"/>
          <w:szCs w:val="24"/>
        </w:rPr>
        <w:t xml:space="preserve">Programação e execução dos programas sociais </w:t>
      </w:r>
      <w:r>
        <w:rPr>
          <w:rFonts w:asciiTheme="minorHAnsi" w:hAnsiTheme="minorHAnsi" w:cstheme="minorHAnsi"/>
          <w:sz w:val="24"/>
          <w:szCs w:val="24"/>
        </w:rPr>
        <w:t xml:space="preserve">por tipo de </w:t>
      </w:r>
      <w:r w:rsidRPr="00BF31F0">
        <w:rPr>
          <w:rFonts w:asciiTheme="minorHAnsi" w:hAnsiTheme="minorHAnsi" w:cstheme="minorHAnsi"/>
          <w:sz w:val="24"/>
          <w:szCs w:val="24"/>
        </w:rPr>
        <w:t>acompanhamento de ação - Minas Gerais - 1º Bimestre de 2020</w:t>
      </w:r>
    </w:p>
    <w:p w14:paraId="6FD18C5A" w14:textId="6B40AA3D" w:rsidR="007864F3" w:rsidRPr="00964541" w:rsidRDefault="007864F3" w:rsidP="00BF31F0">
      <w:pPr>
        <w:tabs>
          <w:tab w:val="left" w:pos="8504"/>
        </w:tabs>
        <w:spacing w:after="0" w:line="240" w:lineRule="auto"/>
        <w:contextualSpacing/>
        <w:jc w:val="center"/>
        <w:rPr>
          <w:rFonts w:asciiTheme="minorHAnsi" w:hAnsiTheme="minorHAnsi" w:cstheme="minorHAnsi"/>
          <w:sz w:val="24"/>
          <w:szCs w:val="24"/>
        </w:rPr>
      </w:pPr>
      <w:r w:rsidRPr="007864F3">
        <w:drawing>
          <wp:inline distT="0" distB="0" distL="0" distR="0" wp14:anchorId="7D7F80D8" wp14:editId="3EA7ABFC">
            <wp:extent cx="5400040" cy="1167916"/>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167916"/>
                    </a:xfrm>
                    <a:prstGeom prst="rect">
                      <a:avLst/>
                    </a:prstGeom>
                    <a:noFill/>
                    <a:ln>
                      <a:noFill/>
                    </a:ln>
                  </pic:spPr>
                </pic:pic>
              </a:graphicData>
            </a:graphic>
          </wp:inline>
        </w:drawing>
      </w:r>
    </w:p>
    <w:p w14:paraId="00000056" w14:textId="23505504" w:rsidR="00AB5176" w:rsidRPr="00964541" w:rsidRDefault="00A3524F" w:rsidP="00964541">
      <w:pPr>
        <w:spacing w:before="100" w:beforeAutospacing="1" w:after="100" w:afterAutospacing="1" w:line="360" w:lineRule="auto"/>
        <w:ind w:firstLine="709"/>
        <w:jc w:val="both"/>
        <w:rPr>
          <w:rFonts w:asciiTheme="minorHAnsi" w:hAnsiTheme="minorHAnsi" w:cstheme="minorHAnsi"/>
          <w:sz w:val="24"/>
          <w:szCs w:val="24"/>
        </w:rPr>
      </w:pPr>
      <w:sdt>
        <w:sdtPr>
          <w:rPr>
            <w:rFonts w:asciiTheme="minorHAnsi" w:hAnsiTheme="minorHAnsi" w:cstheme="minorHAnsi"/>
            <w:sz w:val="24"/>
            <w:szCs w:val="24"/>
          </w:rPr>
          <w:tag w:val="goog_rdk_24"/>
          <w:id w:val="1572773743"/>
          <w:showingPlcHdr/>
        </w:sdtPr>
        <w:sdtEndPr/>
        <w:sdtContent>
          <w:r w:rsidR="00BF31F0">
            <w:rPr>
              <w:rFonts w:asciiTheme="minorHAnsi" w:hAnsiTheme="minorHAnsi" w:cstheme="minorHAnsi"/>
              <w:sz w:val="24"/>
              <w:szCs w:val="24"/>
            </w:rPr>
            <w:t xml:space="preserve">     </w:t>
          </w:r>
        </w:sdtContent>
      </w:sdt>
      <w:r w:rsidR="000D46B7" w:rsidRPr="00964541">
        <w:rPr>
          <w:rFonts w:asciiTheme="minorHAnsi" w:hAnsiTheme="minorHAnsi" w:cstheme="minorHAnsi"/>
          <w:sz w:val="24"/>
          <w:szCs w:val="24"/>
        </w:rPr>
        <w:t xml:space="preserve">A partir da análise dos dados depreende-se que </w:t>
      </w:r>
      <w:r w:rsidR="00964541">
        <w:rPr>
          <w:rFonts w:asciiTheme="minorHAnsi" w:hAnsiTheme="minorHAnsi" w:cstheme="minorHAnsi"/>
          <w:sz w:val="24"/>
          <w:szCs w:val="24"/>
        </w:rPr>
        <w:t xml:space="preserve">os </w:t>
      </w:r>
      <w:r w:rsidR="000D46B7" w:rsidRPr="00964541">
        <w:rPr>
          <w:rFonts w:asciiTheme="minorHAnsi" w:hAnsiTheme="minorHAnsi" w:cstheme="minorHAnsi"/>
          <w:sz w:val="24"/>
          <w:szCs w:val="24"/>
        </w:rPr>
        <w:t xml:space="preserve">Demais Projetos e </w:t>
      </w:r>
      <w:r w:rsidR="00964541" w:rsidRPr="00964541">
        <w:rPr>
          <w:rFonts w:asciiTheme="minorHAnsi" w:hAnsiTheme="minorHAnsi" w:cstheme="minorHAnsi"/>
          <w:sz w:val="24"/>
          <w:szCs w:val="24"/>
        </w:rPr>
        <w:t>Atividades apresentaram</w:t>
      </w:r>
      <w:r w:rsidR="000D46B7" w:rsidRPr="00964541">
        <w:rPr>
          <w:rFonts w:asciiTheme="minorHAnsi" w:hAnsiTheme="minorHAnsi" w:cstheme="minorHAnsi"/>
          <w:sz w:val="24"/>
          <w:szCs w:val="24"/>
        </w:rPr>
        <w:t xml:space="preserve"> a maior fatia dos recursos executados nos programas sociais (82%), ao passo que </w:t>
      </w:r>
      <w:r w:rsidR="00964541">
        <w:rPr>
          <w:rFonts w:asciiTheme="minorHAnsi" w:hAnsiTheme="minorHAnsi" w:cstheme="minorHAnsi"/>
          <w:sz w:val="24"/>
          <w:szCs w:val="24"/>
        </w:rPr>
        <w:t xml:space="preserve">os </w:t>
      </w:r>
      <w:r w:rsidR="000D46B7" w:rsidRPr="00964541">
        <w:rPr>
          <w:rFonts w:asciiTheme="minorHAnsi" w:hAnsiTheme="minorHAnsi" w:cstheme="minorHAnsi"/>
          <w:sz w:val="24"/>
          <w:szCs w:val="24"/>
        </w:rPr>
        <w:t xml:space="preserve">Projetos Estratégicos evidenciaram 18%. Nota-se, portanto, que não há uma relação direta entre o tipo de acompanhamento e o volume de recursos, ou seja, não necessariamente as ações consideradas como Projetos Estratégicos terão prioridade na alocação dos recursos. </w:t>
      </w:r>
    </w:p>
    <w:p w14:paraId="00000057" w14:textId="1F7E5E3D"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Por outro lado, verifica-se que </w:t>
      </w:r>
      <w:r w:rsidR="00964541">
        <w:rPr>
          <w:rFonts w:asciiTheme="minorHAnsi" w:hAnsiTheme="minorHAnsi" w:cstheme="minorHAnsi"/>
          <w:sz w:val="24"/>
          <w:szCs w:val="24"/>
        </w:rPr>
        <w:t xml:space="preserve">os </w:t>
      </w:r>
      <w:r w:rsidRPr="00964541">
        <w:rPr>
          <w:rFonts w:asciiTheme="minorHAnsi" w:hAnsiTheme="minorHAnsi" w:cstheme="minorHAnsi"/>
          <w:sz w:val="24"/>
          <w:szCs w:val="24"/>
        </w:rPr>
        <w:t xml:space="preserve">Demais Projetos e Atividades apresentaram execução de 96,81% em relação ao valor programado no primeiro bimestre. Já </w:t>
      </w:r>
      <w:r w:rsidR="00964541">
        <w:rPr>
          <w:rFonts w:asciiTheme="minorHAnsi" w:hAnsiTheme="minorHAnsi" w:cstheme="minorHAnsi"/>
          <w:sz w:val="24"/>
          <w:szCs w:val="24"/>
        </w:rPr>
        <w:t xml:space="preserve">os </w:t>
      </w:r>
      <w:r w:rsidRPr="00964541">
        <w:rPr>
          <w:rFonts w:asciiTheme="minorHAnsi" w:hAnsiTheme="minorHAnsi" w:cstheme="minorHAnsi"/>
          <w:sz w:val="24"/>
          <w:szCs w:val="24"/>
        </w:rPr>
        <w:t>Projetos Estratégicos demonstraram execução de 99,96%.</w:t>
      </w:r>
    </w:p>
    <w:p w14:paraId="0000005A" w14:textId="08C71832" w:rsidR="00AB5176" w:rsidRDefault="00964541" w:rsidP="00964541">
      <w:pPr>
        <w:spacing w:before="100" w:beforeAutospacing="1" w:after="100" w:afterAutospacing="1" w:line="360" w:lineRule="auto"/>
        <w:jc w:val="both"/>
        <w:rPr>
          <w:rFonts w:asciiTheme="minorHAnsi" w:hAnsiTheme="minorHAnsi" w:cstheme="minorHAnsi"/>
          <w:color w:val="FF0000"/>
          <w:sz w:val="24"/>
          <w:szCs w:val="24"/>
        </w:rPr>
      </w:pPr>
      <w:r w:rsidRPr="00964541">
        <w:rPr>
          <w:rFonts w:asciiTheme="minorHAnsi" w:hAnsiTheme="minorHAnsi" w:cstheme="minorHAnsi"/>
          <w:sz w:val="24"/>
          <w:szCs w:val="24"/>
        </w:rPr>
        <w:t xml:space="preserve">A execução global pode ser igualmente aferida a partir da programação e execução dos programas sociais em relação às áreas temáticas definidas no PMDI, consoante demonstra a Tabela 3.     </w:t>
      </w:r>
      <w:r w:rsidR="000D46B7" w:rsidRPr="00964541">
        <w:rPr>
          <w:rFonts w:asciiTheme="minorHAnsi" w:hAnsiTheme="minorHAnsi" w:cstheme="minorHAnsi"/>
          <w:color w:val="FF0000"/>
          <w:sz w:val="24"/>
          <w:szCs w:val="24"/>
        </w:rPr>
        <w:tab/>
      </w:r>
    </w:p>
    <w:p w14:paraId="58F7E94D" w14:textId="34E012F5" w:rsidR="00BF31F0" w:rsidRDefault="00BF31F0" w:rsidP="00964541">
      <w:pPr>
        <w:spacing w:before="100" w:beforeAutospacing="1" w:after="100" w:afterAutospacing="1" w:line="360" w:lineRule="auto"/>
        <w:jc w:val="both"/>
        <w:rPr>
          <w:rFonts w:asciiTheme="minorHAnsi" w:hAnsiTheme="minorHAnsi" w:cstheme="minorHAnsi"/>
          <w:color w:val="FF0000"/>
          <w:sz w:val="24"/>
          <w:szCs w:val="24"/>
        </w:rPr>
      </w:pPr>
    </w:p>
    <w:p w14:paraId="13440B7C" w14:textId="34795CA7" w:rsidR="00BF31F0" w:rsidRDefault="00BF31F0" w:rsidP="00964541">
      <w:pPr>
        <w:spacing w:before="100" w:beforeAutospacing="1" w:after="100" w:afterAutospacing="1" w:line="360" w:lineRule="auto"/>
        <w:jc w:val="both"/>
        <w:rPr>
          <w:rFonts w:asciiTheme="minorHAnsi" w:hAnsiTheme="minorHAnsi" w:cstheme="minorHAnsi"/>
          <w:color w:val="FF0000"/>
          <w:sz w:val="24"/>
          <w:szCs w:val="24"/>
        </w:rPr>
      </w:pPr>
    </w:p>
    <w:p w14:paraId="2EE44CE2" w14:textId="07664841" w:rsidR="00BF31F0" w:rsidRDefault="00BF31F0" w:rsidP="00964541">
      <w:pPr>
        <w:spacing w:before="100" w:beforeAutospacing="1" w:after="100" w:afterAutospacing="1" w:line="360" w:lineRule="auto"/>
        <w:jc w:val="both"/>
        <w:rPr>
          <w:rFonts w:asciiTheme="minorHAnsi" w:hAnsiTheme="minorHAnsi" w:cstheme="minorHAnsi"/>
          <w:color w:val="FF0000"/>
          <w:sz w:val="24"/>
          <w:szCs w:val="24"/>
        </w:rPr>
      </w:pPr>
    </w:p>
    <w:p w14:paraId="65E347C0" w14:textId="456643D9" w:rsidR="00BF31F0" w:rsidRPr="007864F3" w:rsidRDefault="007864F3" w:rsidP="007864F3">
      <w:pPr>
        <w:spacing w:before="100" w:beforeAutospacing="1" w:after="100" w:afterAutospacing="1" w:line="240" w:lineRule="auto"/>
        <w:contextualSpacing/>
        <w:jc w:val="center"/>
        <w:rPr>
          <w:rFonts w:asciiTheme="minorHAnsi" w:hAnsiTheme="minorHAnsi" w:cstheme="minorHAnsi"/>
          <w:sz w:val="24"/>
          <w:szCs w:val="24"/>
        </w:rPr>
      </w:pPr>
      <w:r w:rsidRPr="007864F3">
        <w:rPr>
          <w:rFonts w:asciiTheme="minorHAnsi" w:hAnsiTheme="minorHAnsi" w:cstheme="minorHAnsi"/>
          <w:b/>
          <w:sz w:val="24"/>
          <w:szCs w:val="24"/>
        </w:rPr>
        <w:lastRenderedPageBreak/>
        <w:t xml:space="preserve">Tabela 3 - </w:t>
      </w:r>
      <w:r w:rsidRPr="007864F3">
        <w:rPr>
          <w:rFonts w:asciiTheme="minorHAnsi" w:hAnsiTheme="minorHAnsi" w:cstheme="minorHAnsi"/>
          <w:sz w:val="24"/>
          <w:szCs w:val="24"/>
        </w:rPr>
        <w:t>Programação e execução dos programas sociais segmentados por áreas temáticas - Minas Gerais - 1º Bimestre de 2020</w:t>
      </w:r>
    </w:p>
    <w:p w14:paraId="6DB6C31A" w14:textId="00077A70" w:rsidR="00BF31F0" w:rsidRPr="00964541" w:rsidRDefault="007864F3" w:rsidP="007864F3">
      <w:pPr>
        <w:spacing w:before="100" w:beforeAutospacing="1" w:after="100" w:afterAutospacing="1" w:line="360" w:lineRule="auto"/>
        <w:jc w:val="center"/>
        <w:rPr>
          <w:rFonts w:asciiTheme="minorHAnsi" w:hAnsiTheme="minorHAnsi" w:cstheme="minorHAnsi"/>
          <w:sz w:val="24"/>
          <w:szCs w:val="24"/>
        </w:rPr>
      </w:pPr>
      <w:r w:rsidRPr="007864F3">
        <w:drawing>
          <wp:inline distT="0" distB="0" distL="0" distR="0" wp14:anchorId="71B92523" wp14:editId="0FF0FB67">
            <wp:extent cx="5399313" cy="4076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3089" cy="4087102"/>
                    </a:xfrm>
                    <a:prstGeom prst="rect">
                      <a:avLst/>
                    </a:prstGeom>
                    <a:noFill/>
                    <a:ln>
                      <a:noFill/>
                    </a:ln>
                  </pic:spPr>
                </pic:pic>
              </a:graphicData>
            </a:graphic>
          </wp:inline>
        </w:drawing>
      </w:r>
    </w:p>
    <w:p w14:paraId="4C1DB18B" w14:textId="736955C7" w:rsidR="00964541" w:rsidRPr="00964541" w:rsidRDefault="00964541" w:rsidP="00964541">
      <w:pPr>
        <w:spacing w:before="100" w:beforeAutospacing="1" w:after="100" w:afterAutospacing="1" w:line="360" w:lineRule="auto"/>
        <w:ind w:firstLine="720"/>
        <w:jc w:val="both"/>
        <w:rPr>
          <w:rFonts w:asciiTheme="minorHAnsi" w:hAnsiTheme="minorHAnsi" w:cstheme="minorHAnsi"/>
          <w:sz w:val="24"/>
          <w:szCs w:val="24"/>
        </w:rPr>
      </w:pPr>
      <w:r w:rsidRPr="00964541">
        <w:rPr>
          <w:rFonts w:asciiTheme="minorHAnsi" w:hAnsiTheme="minorHAnsi" w:cstheme="minorHAnsi"/>
          <w:sz w:val="24"/>
          <w:szCs w:val="24"/>
        </w:rPr>
        <w:t>Salienta-se que áreas temáticas consideradas finalísticas são aquelas compreendidas por atividades de caráter essencial, desempenhada pela administração pública com foco na sociedade. Enquanto as áreas classificadas como apoio e suporte são aquelas que envolvem as atividades as quais contribuem indiretamente a primeira área citada, ofertando o auxílio periférico necessário para realização das temáticas finalísticas. Por sua vez, aquela classificada n</w:t>
      </w:r>
      <w:r>
        <w:rPr>
          <w:rFonts w:asciiTheme="minorHAnsi" w:hAnsiTheme="minorHAnsi" w:cstheme="minorHAnsi"/>
          <w:sz w:val="24"/>
          <w:szCs w:val="24"/>
        </w:rPr>
        <w:t>a categoria “Outros” compreende as</w:t>
      </w:r>
      <w:r w:rsidRPr="00964541">
        <w:rPr>
          <w:rFonts w:asciiTheme="minorHAnsi" w:hAnsiTheme="minorHAnsi" w:cstheme="minorHAnsi"/>
          <w:sz w:val="24"/>
          <w:szCs w:val="24"/>
        </w:rPr>
        <w:t xml:space="preserve"> atividades que envolvem os Outros Poderes.</w:t>
      </w:r>
    </w:p>
    <w:p w14:paraId="2A310BE5" w14:textId="0F5C37A0" w:rsidR="00964541" w:rsidRPr="00964541" w:rsidRDefault="00964541" w:rsidP="00964541">
      <w:pPr>
        <w:spacing w:before="100" w:beforeAutospacing="1" w:after="100" w:afterAutospacing="1" w:line="360" w:lineRule="auto"/>
        <w:ind w:firstLine="720"/>
        <w:jc w:val="both"/>
        <w:rPr>
          <w:rFonts w:asciiTheme="minorHAnsi" w:hAnsiTheme="minorHAnsi" w:cstheme="minorHAnsi"/>
          <w:sz w:val="24"/>
          <w:szCs w:val="24"/>
        </w:rPr>
      </w:pPr>
      <w:r w:rsidRPr="00964541">
        <w:rPr>
          <w:rFonts w:asciiTheme="minorHAnsi" w:hAnsiTheme="minorHAnsi" w:cstheme="minorHAnsi"/>
          <w:sz w:val="24"/>
          <w:szCs w:val="24"/>
        </w:rPr>
        <w:t xml:space="preserve">As áreas temáticas com maior execução nos programas sociais comparativamente aos recursos programados para o período foram: Desenvolvimento Social (104,07%), Agricultura, </w:t>
      </w:r>
      <w:r w:rsidR="007864F3">
        <w:rPr>
          <w:rFonts w:asciiTheme="minorHAnsi" w:hAnsiTheme="minorHAnsi" w:cstheme="minorHAnsi"/>
          <w:sz w:val="24"/>
          <w:szCs w:val="24"/>
        </w:rPr>
        <w:t>Pecuária e Abastecimento (103,98%) e Educação (103,11%).</w:t>
      </w:r>
    </w:p>
    <w:p w14:paraId="0000005E" w14:textId="23F7435C" w:rsidR="00AB5176" w:rsidRPr="00964541" w:rsidRDefault="00964541" w:rsidP="00964541">
      <w:pPr>
        <w:spacing w:before="100" w:beforeAutospacing="1" w:after="100" w:afterAutospacing="1" w:line="360" w:lineRule="auto"/>
        <w:ind w:firstLine="720"/>
        <w:jc w:val="both"/>
        <w:rPr>
          <w:rFonts w:asciiTheme="minorHAnsi" w:hAnsiTheme="minorHAnsi" w:cstheme="minorHAnsi"/>
          <w:color w:val="FF0000"/>
          <w:sz w:val="24"/>
          <w:szCs w:val="24"/>
        </w:rPr>
      </w:pPr>
      <w:r w:rsidRPr="00964541">
        <w:rPr>
          <w:rFonts w:asciiTheme="minorHAnsi" w:hAnsiTheme="minorHAnsi" w:cstheme="minorHAnsi"/>
          <w:sz w:val="24"/>
          <w:szCs w:val="24"/>
        </w:rPr>
        <w:t xml:space="preserve">Considerando apenas o valor alocado nas áreas temáticas, aquelas com maior participação na execução dos programas sociais do PPAG no primeiro bimestre de 2020 </w:t>
      </w:r>
      <w:r w:rsidRPr="00964541">
        <w:rPr>
          <w:rFonts w:asciiTheme="minorHAnsi" w:hAnsiTheme="minorHAnsi" w:cstheme="minorHAnsi"/>
          <w:sz w:val="24"/>
          <w:szCs w:val="24"/>
        </w:rPr>
        <w:lastRenderedPageBreak/>
        <w:t>foram: Segurança Pública (39,68%) e Educação (37,17%) os quais representam juntos 76,85% do valor realizado</w:t>
      </w:r>
      <w:r>
        <w:rPr>
          <w:rFonts w:asciiTheme="minorHAnsi" w:hAnsiTheme="minorHAnsi" w:cstheme="minorHAnsi"/>
          <w:sz w:val="24"/>
          <w:szCs w:val="24"/>
        </w:rPr>
        <w:t>.</w:t>
      </w:r>
    </w:p>
    <w:p w14:paraId="00000064" w14:textId="0BEB3723" w:rsidR="00AB5176" w:rsidRDefault="000D46B7" w:rsidP="00964541">
      <w:pPr>
        <w:tabs>
          <w:tab w:val="left" w:pos="7655"/>
        </w:tabs>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A fim de demonstrar a alocação orçamentária dos programas sociais, a Tabela 4 apresenta a distribuição funcional dos valores programados e realizados no primeiro bimestre de 2020:</w:t>
      </w:r>
    </w:p>
    <w:p w14:paraId="59AEEFF6" w14:textId="1AE9688D" w:rsidR="007864F3" w:rsidRPr="007864F3" w:rsidRDefault="007864F3" w:rsidP="007864F3">
      <w:pPr>
        <w:spacing w:before="100" w:beforeAutospacing="1" w:after="100" w:afterAutospacing="1" w:line="240" w:lineRule="auto"/>
        <w:contextualSpacing/>
        <w:jc w:val="center"/>
        <w:rPr>
          <w:rFonts w:asciiTheme="minorHAnsi" w:hAnsiTheme="minorHAnsi" w:cstheme="minorHAnsi"/>
          <w:b/>
          <w:sz w:val="24"/>
          <w:szCs w:val="24"/>
        </w:rPr>
      </w:pPr>
      <w:r w:rsidRPr="007864F3">
        <w:rPr>
          <w:rFonts w:asciiTheme="minorHAnsi" w:hAnsiTheme="minorHAnsi" w:cstheme="minorHAnsi"/>
          <w:b/>
          <w:sz w:val="24"/>
          <w:szCs w:val="24"/>
        </w:rPr>
        <w:t xml:space="preserve">Tabela 4 - </w:t>
      </w:r>
      <w:r w:rsidRPr="007864F3">
        <w:rPr>
          <w:rFonts w:asciiTheme="minorHAnsi" w:hAnsiTheme="minorHAnsi" w:cstheme="minorHAnsi"/>
          <w:sz w:val="24"/>
          <w:szCs w:val="24"/>
        </w:rPr>
        <w:t>Programação e execução dos programas sociais por função - Minas Gerais - 1º bimestre de 2020</w:t>
      </w:r>
    </w:p>
    <w:p w14:paraId="00000065" w14:textId="4F811486" w:rsidR="00AB5176" w:rsidRPr="00964541" w:rsidRDefault="007864F3" w:rsidP="007864F3">
      <w:pPr>
        <w:tabs>
          <w:tab w:val="left" w:pos="7655"/>
        </w:tabs>
        <w:spacing w:before="100" w:beforeAutospacing="1" w:after="100" w:afterAutospacing="1" w:line="360" w:lineRule="auto"/>
        <w:ind w:right="-300"/>
        <w:jc w:val="center"/>
        <w:rPr>
          <w:rFonts w:asciiTheme="minorHAnsi" w:hAnsiTheme="minorHAnsi" w:cstheme="minorHAnsi"/>
          <w:sz w:val="24"/>
          <w:szCs w:val="24"/>
        </w:rPr>
      </w:pPr>
      <w:r w:rsidRPr="007864F3">
        <w:drawing>
          <wp:inline distT="0" distB="0" distL="0" distR="0" wp14:anchorId="640146BD" wp14:editId="698972E3">
            <wp:extent cx="5400040" cy="4982964"/>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982964"/>
                    </a:xfrm>
                    <a:prstGeom prst="rect">
                      <a:avLst/>
                    </a:prstGeom>
                    <a:noFill/>
                    <a:ln>
                      <a:noFill/>
                    </a:ln>
                  </pic:spPr>
                </pic:pic>
              </a:graphicData>
            </a:graphic>
          </wp:inline>
        </w:drawing>
      </w:r>
    </w:p>
    <w:p w14:paraId="00000066" w14:textId="11569855" w:rsidR="00AB5176" w:rsidRPr="00964541" w:rsidRDefault="000D46B7" w:rsidP="00964541">
      <w:pPr>
        <w:tabs>
          <w:tab w:val="left" w:pos="709"/>
        </w:tabs>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As funções com maior participação relativa na execução dos programas sociais do PPAG entre janeiro e fevereiro de 2020 foram: Segurança Pública (39,60</w:t>
      </w:r>
      <w:r w:rsidR="00964541" w:rsidRPr="00964541">
        <w:rPr>
          <w:rFonts w:asciiTheme="minorHAnsi" w:hAnsiTheme="minorHAnsi" w:cstheme="minorHAnsi"/>
          <w:sz w:val="24"/>
          <w:szCs w:val="24"/>
        </w:rPr>
        <w:t>%), Educação (</w:t>
      </w:r>
      <w:r w:rsidRPr="00964541">
        <w:rPr>
          <w:rFonts w:asciiTheme="minorHAnsi" w:hAnsiTheme="minorHAnsi" w:cstheme="minorHAnsi"/>
          <w:sz w:val="24"/>
          <w:szCs w:val="24"/>
        </w:rPr>
        <w:t>37,23%) e Saúde (15,68%), as quais representaram juntas 92,51% do total executado.</w:t>
      </w:r>
    </w:p>
    <w:p w14:paraId="00000067" w14:textId="2D21FD40"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lastRenderedPageBreak/>
        <w:t>Por sua vez, as funções com maior execução dos programas sociais comparativamente aos recursos programados para o período foram: Trabalho (128,61</w:t>
      </w:r>
      <w:r w:rsidR="00964541" w:rsidRPr="00964541">
        <w:rPr>
          <w:rFonts w:asciiTheme="minorHAnsi" w:hAnsiTheme="minorHAnsi" w:cstheme="minorHAnsi"/>
          <w:sz w:val="24"/>
          <w:szCs w:val="24"/>
        </w:rPr>
        <w:t>%),</w:t>
      </w:r>
      <w:r w:rsidRPr="00964541">
        <w:rPr>
          <w:rFonts w:asciiTheme="minorHAnsi" w:hAnsiTheme="minorHAnsi" w:cstheme="minorHAnsi"/>
          <w:sz w:val="24"/>
          <w:szCs w:val="24"/>
        </w:rPr>
        <w:t xml:space="preserve"> Diretos da Cidadania (113,24%) e Desporto e Lazer (107,86%).</w:t>
      </w:r>
    </w:p>
    <w:p w14:paraId="0000006C" w14:textId="76ACE949" w:rsidR="00AB5176" w:rsidRPr="00964541" w:rsidRDefault="00A3524F" w:rsidP="00964541">
      <w:pPr>
        <w:numPr>
          <w:ilvl w:val="1"/>
          <w:numId w:val="6"/>
        </w:numPr>
        <w:pBdr>
          <w:top w:val="nil"/>
          <w:left w:val="nil"/>
          <w:bottom w:val="nil"/>
          <w:right w:val="nil"/>
          <w:between w:val="nil"/>
        </w:pBdr>
        <w:spacing w:before="100" w:beforeAutospacing="1" w:after="100" w:afterAutospacing="1" w:line="360" w:lineRule="auto"/>
        <w:ind w:left="714" w:hanging="357"/>
        <w:jc w:val="both"/>
        <w:rPr>
          <w:rFonts w:asciiTheme="minorHAnsi" w:hAnsiTheme="minorHAnsi" w:cstheme="minorHAnsi"/>
          <w:b/>
          <w:color w:val="000000"/>
          <w:sz w:val="24"/>
          <w:szCs w:val="24"/>
        </w:rPr>
      </w:pPr>
      <w:sdt>
        <w:sdtPr>
          <w:rPr>
            <w:rFonts w:asciiTheme="minorHAnsi" w:hAnsiTheme="minorHAnsi" w:cstheme="minorHAnsi"/>
            <w:sz w:val="24"/>
            <w:szCs w:val="24"/>
          </w:rPr>
          <w:tag w:val="goog_rdk_44"/>
          <w:id w:val="-1656288468"/>
        </w:sdtPr>
        <w:sdtEndPr/>
        <w:sdtContent/>
      </w:sdt>
      <w:r w:rsidR="000D46B7" w:rsidRPr="00964541">
        <w:rPr>
          <w:rFonts w:asciiTheme="minorHAnsi" w:hAnsiTheme="minorHAnsi" w:cstheme="minorHAnsi"/>
          <w:b/>
          <w:color w:val="000000"/>
          <w:sz w:val="24"/>
          <w:szCs w:val="24"/>
        </w:rPr>
        <w:t xml:space="preserve">DESEMPENHO CONSOLIDADO DAS AÇÕES </w:t>
      </w:r>
    </w:p>
    <w:p w14:paraId="0000006D" w14:textId="2B03C5D2" w:rsidR="00AB5176" w:rsidRPr="00964541" w:rsidRDefault="000D46B7" w:rsidP="00964541">
      <w:pPr>
        <w:spacing w:before="100" w:beforeAutospacing="1" w:after="100" w:afterAutospacing="1" w:line="360" w:lineRule="auto"/>
        <w:ind w:firstLine="708"/>
        <w:jc w:val="both"/>
        <w:rPr>
          <w:rFonts w:asciiTheme="minorHAnsi" w:hAnsiTheme="minorHAnsi" w:cstheme="minorHAnsi"/>
          <w:sz w:val="24"/>
          <w:szCs w:val="24"/>
        </w:rPr>
      </w:pPr>
      <w:r w:rsidRPr="00964541">
        <w:rPr>
          <w:rFonts w:asciiTheme="minorHAnsi" w:hAnsiTheme="minorHAnsi" w:cstheme="minorHAnsi"/>
          <w:sz w:val="24"/>
          <w:szCs w:val="24"/>
        </w:rPr>
        <w:t>Nesta seção, o foco será a análise da execução das metas físicas e orçamentárias das ações</w:t>
      </w:r>
      <w:r w:rsidR="00F13C70">
        <w:rPr>
          <w:rFonts w:asciiTheme="minorHAnsi" w:hAnsiTheme="minorHAnsi" w:cstheme="minorHAnsi"/>
          <w:sz w:val="24"/>
          <w:szCs w:val="24"/>
        </w:rPr>
        <w:t xml:space="preserve"> dos programas.</w:t>
      </w:r>
      <w:r w:rsidRPr="00964541">
        <w:rPr>
          <w:rFonts w:asciiTheme="minorHAnsi" w:hAnsiTheme="minorHAnsi" w:cstheme="minorHAnsi"/>
          <w:sz w:val="24"/>
          <w:szCs w:val="24"/>
        </w:rPr>
        <w:t xml:space="preserve"> Essa análise terá como base o desdobramento das referidas metas fixadas no PPAG no decorrer dos meses do exercício corrente. </w:t>
      </w:r>
    </w:p>
    <w:p w14:paraId="0000006E" w14:textId="77777777" w:rsidR="00AB5176" w:rsidRPr="00964541" w:rsidRDefault="000D46B7" w:rsidP="00964541">
      <w:pPr>
        <w:spacing w:before="100" w:beforeAutospacing="1" w:after="100" w:afterAutospacing="1" w:line="360" w:lineRule="auto"/>
        <w:ind w:firstLine="708"/>
        <w:jc w:val="both"/>
        <w:rPr>
          <w:rFonts w:asciiTheme="minorHAnsi" w:hAnsiTheme="minorHAnsi" w:cstheme="minorHAnsi"/>
          <w:sz w:val="24"/>
          <w:szCs w:val="24"/>
        </w:rPr>
      </w:pPr>
      <w:r w:rsidRPr="00964541">
        <w:rPr>
          <w:rFonts w:asciiTheme="minorHAnsi" w:hAnsiTheme="minorHAnsi" w:cstheme="minorHAnsi"/>
          <w:sz w:val="24"/>
          <w:szCs w:val="24"/>
        </w:rPr>
        <w:t>A definição das metas físicas e orçamentárias é realizada sempre no segundo semestre do ano anterior, durante a fase de elaboração do PPAG e suas revisões, bem como da Lei Orçamentária Anual. Já a programação das metas é realizada durante o segundo bimestre do ano corrente. Esse detalhamento é realizado pelos gestores responsáveis e registrado no módulo de monitoramento do SIGPlan, viabilizando aferir com antecedência o desempenho das ações no que se refere ao alcance das metas estabelecidas no plano.</w:t>
      </w:r>
    </w:p>
    <w:p w14:paraId="0000006F" w14:textId="77777777" w:rsidR="00AB5176" w:rsidRPr="00964541" w:rsidRDefault="000D46B7" w:rsidP="00964541">
      <w:pPr>
        <w:spacing w:before="100" w:beforeAutospacing="1" w:after="100" w:afterAutospacing="1" w:line="360" w:lineRule="auto"/>
        <w:ind w:firstLine="708"/>
        <w:jc w:val="both"/>
        <w:rPr>
          <w:rFonts w:asciiTheme="minorHAnsi" w:hAnsiTheme="minorHAnsi" w:cstheme="minorHAnsi"/>
          <w:sz w:val="24"/>
          <w:szCs w:val="24"/>
        </w:rPr>
      </w:pPr>
      <w:r w:rsidRPr="00964541">
        <w:rPr>
          <w:rFonts w:asciiTheme="minorHAnsi" w:hAnsiTheme="minorHAnsi" w:cstheme="minorHAnsi"/>
          <w:sz w:val="24"/>
          <w:szCs w:val="24"/>
        </w:rPr>
        <w:t xml:space="preserve">Desempenho Consolidado da Ação oferece uma rápida visualização do desempenho físico e orçamentário, revelando, para cada uma dessas dimensões, se o status da ação é “sem meta estabelecida”, “crítico”, “satisfatório” ou “subestimado”, conforme os seguintes parâmetros: </w:t>
      </w:r>
    </w:p>
    <w:p w14:paraId="00000070" w14:textId="5DC1D84B" w:rsidR="00AB5176" w:rsidRPr="00F13C70" w:rsidRDefault="000D46B7" w:rsidP="00F13C70">
      <w:pPr>
        <w:pStyle w:val="PargrafodaLista"/>
        <w:numPr>
          <w:ilvl w:val="0"/>
          <w:numId w:val="9"/>
        </w:numPr>
        <w:spacing w:before="100" w:beforeAutospacing="1" w:after="100" w:afterAutospacing="1" w:line="360" w:lineRule="auto"/>
        <w:jc w:val="both"/>
        <w:rPr>
          <w:rFonts w:asciiTheme="minorHAnsi" w:hAnsiTheme="minorHAnsi" w:cstheme="minorHAnsi"/>
          <w:sz w:val="24"/>
          <w:szCs w:val="24"/>
        </w:rPr>
      </w:pPr>
      <w:r w:rsidRPr="00F13C70">
        <w:rPr>
          <w:rFonts w:asciiTheme="minorHAnsi" w:hAnsiTheme="minorHAnsi" w:cstheme="minorHAnsi"/>
          <w:i/>
          <w:sz w:val="24"/>
          <w:szCs w:val="24"/>
        </w:rPr>
        <w:t>Status</w:t>
      </w:r>
      <w:r w:rsidRPr="00F13C70">
        <w:rPr>
          <w:rFonts w:asciiTheme="minorHAnsi" w:hAnsiTheme="minorHAnsi" w:cstheme="minorHAnsi"/>
          <w:sz w:val="24"/>
          <w:szCs w:val="24"/>
        </w:rPr>
        <w:t xml:space="preserve"> satisfatório: dimensões física ou orçamentária do desempenho da ação caracterizadas por taxa de execução compreendida no intervalo entre 70% e 130% frente à meta programada até o período monitorado; </w:t>
      </w:r>
    </w:p>
    <w:p w14:paraId="00000071" w14:textId="1DBA5C4E" w:rsidR="00AB5176" w:rsidRPr="00F13C70" w:rsidRDefault="000D46B7" w:rsidP="00F13C70">
      <w:pPr>
        <w:pStyle w:val="PargrafodaLista"/>
        <w:numPr>
          <w:ilvl w:val="0"/>
          <w:numId w:val="9"/>
        </w:numPr>
        <w:spacing w:before="100" w:beforeAutospacing="1" w:after="100" w:afterAutospacing="1" w:line="360" w:lineRule="auto"/>
        <w:jc w:val="both"/>
        <w:rPr>
          <w:rFonts w:asciiTheme="minorHAnsi" w:hAnsiTheme="minorHAnsi" w:cstheme="minorHAnsi"/>
          <w:sz w:val="24"/>
          <w:szCs w:val="24"/>
        </w:rPr>
      </w:pPr>
      <w:r w:rsidRPr="00F13C70">
        <w:rPr>
          <w:rFonts w:asciiTheme="minorHAnsi" w:hAnsiTheme="minorHAnsi" w:cstheme="minorHAnsi"/>
          <w:i/>
          <w:sz w:val="24"/>
          <w:szCs w:val="24"/>
        </w:rPr>
        <w:t>Status</w:t>
      </w:r>
      <w:r w:rsidRPr="00F13C70">
        <w:rPr>
          <w:rFonts w:asciiTheme="minorHAnsi" w:hAnsiTheme="minorHAnsi" w:cstheme="minorHAnsi"/>
          <w:sz w:val="24"/>
          <w:szCs w:val="24"/>
        </w:rPr>
        <w:t xml:space="preserve"> crítico: dimensões física ou orçamentária do desempenho da ação caracterizadas por taxa de execução menor do que 70% da meta programada até o bimestre monitorado; </w:t>
      </w:r>
    </w:p>
    <w:p w14:paraId="00000072" w14:textId="4FCA4436" w:rsidR="00AB5176" w:rsidRPr="00F13C70" w:rsidRDefault="000D46B7" w:rsidP="00F13C70">
      <w:pPr>
        <w:pStyle w:val="PargrafodaLista"/>
        <w:numPr>
          <w:ilvl w:val="0"/>
          <w:numId w:val="9"/>
        </w:numPr>
        <w:spacing w:before="100" w:beforeAutospacing="1" w:after="100" w:afterAutospacing="1" w:line="360" w:lineRule="auto"/>
        <w:jc w:val="both"/>
        <w:rPr>
          <w:rFonts w:asciiTheme="minorHAnsi" w:hAnsiTheme="minorHAnsi" w:cstheme="minorHAnsi"/>
          <w:sz w:val="24"/>
          <w:szCs w:val="24"/>
        </w:rPr>
      </w:pPr>
      <w:r w:rsidRPr="00F13C70">
        <w:rPr>
          <w:rFonts w:asciiTheme="minorHAnsi" w:hAnsiTheme="minorHAnsi" w:cstheme="minorHAnsi"/>
          <w:i/>
          <w:sz w:val="24"/>
          <w:szCs w:val="24"/>
        </w:rPr>
        <w:t>Status</w:t>
      </w:r>
      <w:r w:rsidRPr="00F13C70">
        <w:rPr>
          <w:rFonts w:asciiTheme="minorHAnsi" w:hAnsiTheme="minorHAnsi" w:cstheme="minorHAnsi"/>
          <w:sz w:val="24"/>
          <w:szCs w:val="24"/>
        </w:rPr>
        <w:t xml:space="preserve"> subestimado: dimensões física ou orçamentária da ação caracterizadas por taxa de execução acima de 130% perante a meta programada até o último mês monitorado;</w:t>
      </w:r>
    </w:p>
    <w:p w14:paraId="00000073" w14:textId="35E12630" w:rsidR="00AB5176" w:rsidRPr="00F13C70" w:rsidRDefault="000D46B7" w:rsidP="00F13C70">
      <w:pPr>
        <w:pStyle w:val="PargrafodaLista"/>
        <w:numPr>
          <w:ilvl w:val="0"/>
          <w:numId w:val="9"/>
        </w:numPr>
        <w:spacing w:before="100" w:beforeAutospacing="1" w:after="100" w:afterAutospacing="1" w:line="360" w:lineRule="auto"/>
        <w:jc w:val="both"/>
        <w:rPr>
          <w:rFonts w:asciiTheme="minorHAnsi" w:hAnsiTheme="minorHAnsi" w:cstheme="minorHAnsi"/>
          <w:sz w:val="24"/>
          <w:szCs w:val="24"/>
        </w:rPr>
      </w:pPr>
      <w:r w:rsidRPr="00F13C70">
        <w:rPr>
          <w:rFonts w:asciiTheme="minorHAnsi" w:hAnsiTheme="minorHAnsi" w:cstheme="minorHAnsi"/>
          <w:i/>
          <w:sz w:val="24"/>
          <w:szCs w:val="24"/>
        </w:rPr>
        <w:lastRenderedPageBreak/>
        <w:t>Status</w:t>
      </w:r>
      <w:r w:rsidRPr="00F13C70">
        <w:rPr>
          <w:rFonts w:asciiTheme="minorHAnsi" w:hAnsiTheme="minorHAnsi" w:cstheme="minorHAnsi"/>
          <w:sz w:val="24"/>
          <w:szCs w:val="24"/>
        </w:rPr>
        <w:t xml:space="preserve"> Sem meta estabelecida: a ação não apresenta meta programada até o período avaliado, seja para a dimensão física ou orçamentária.</w:t>
      </w:r>
    </w:p>
    <w:p w14:paraId="0E0B420D" w14:textId="77777777" w:rsidR="00F13C70" w:rsidRPr="00F13C70" w:rsidRDefault="00F13C70" w:rsidP="00F13C70">
      <w:pPr>
        <w:spacing w:before="100" w:beforeAutospacing="1" w:after="100" w:afterAutospacing="1" w:line="360" w:lineRule="auto"/>
        <w:ind w:firstLine="700"/>
        <w:jc w:val="both"/>
        <w:rPr>
          <w:rFonts w:asciiTheme="minorHAnsi" w:hAnsiTheme="minorHAnsi" w:cstheme="minorHAnsi"/>
          <w:sz w:val="24"/>
          <w:szCs w:val="24"/>
        </w:rPr>
      </w:pPr>
      <w:r w:rsidRPr="00F13C70">
        <w:rPr>
          <w:rFonts w:asciiTheme="minorHAnsi" w:hAnsiTheme="minorHAnsi" w:cstheme="minorHAnsi"/>
          <w:sz w:val="24"/>
          <w:szCs w:val="24"/>
        </w:rPr>
        <w:t>Destaca-se que com a entrada em vigor do PPAG 2020-2023 a alocação das despesas de pessoal e auxílio dos órgãos e entidades governamentais tornou-se descentralizada. Desse modo, registram-se nas ações, além das despesas de custeio e de investimento necessárias à consecução das políticas públicas, as despesas de remuneração da força de trabalho que contribui com a realização dessas políticas. O objetivo é evidenciar custo total de implementação e manutenção da política pública.</w:t>
      </w:r>
    </w:p>
    <w:p w14:paraId="5DFBC5BC" w14:textId="1E3A060B" w:rsidR="00F13C70" w:rsidRPr="00F13C70" w:rsidRDefault="00F13C70" w:rsidP="00F13C70">
      <w:pPr>
        <w:spacing w:before="100" w:beforeAutospacing="1" w:after="100" w:afterAutospacing="1" w:line="360" w:lineRule="auto"/>
        <w:ind w:firstLine="700"/>
        <w:jc w:val="both"/>
        <w:rPr>
          <w:sz w:val="24"/>
          <w:szCs w:val="24"/>
        </w:rPr>
      </w:pPr>
      <w:r w:rsidRPr="00F13C70">
        <w:rPr>
          <w:rFonts w:asciiTheme="minorHAnsi" w:hAnsiTheme="minorHAnsi" w:cstheme="minorHAnsi"/>
          <w:sz w:val="24"/>
          <w:szCs w:val="24"/>
        </w:rPr>
        <w:t xml:space="preserve">Apesar de ser considerada um ganho de transparência, a programação e execução das despesas de pessoal e auxílio não foi considerada para fins de apuração do desempenho físico e orçamentário das ações governamentais. Nesse sentido, o desempenho físico e orçamentário consolidado das ações, segundo intervalos de desempenho físico e orçamentário é demonstrado na Tabela 5:   </w:t>
      </w:r>
    </w:p>
    <w:p w14:paraId="289F5273" w14:textId="56B966F4" w:rsidR="00F13C70" w:rsidRDefault="00F13C70" w:rsidP="00F13C70">
      <w:pPr>
        <w:spacing w:after="0" w:line="240" w:lineRule="auto"/>
        <w:contextualSpacing/>
        <w:jc w:val="center"/>
        <w:rPr>
          <w:rFonts w:asciiTheme="minorHAnsi" w:hAnsiTheme="minorHAnsi" w:cstheme="minorHAnsi"/>
          <w:sz w:val="24"/>
          <w:szCs w:val="24"/>
        </w:rPr>
      </w:pPr>
      <w:r w:rsidRPr="00F13C70">
        <w:rPr>
          <w:b/>
          <w:sz w:val="24"/>
          <w:szCs w:val="24"/>
        </w:rPr>
        <w:t>Tabela 5</w:t>
      </w:r>
      <w:r w:rsidRPr="00F13C70">
        <w:rPr>
          <w:sz w:val="24"/>
          <w:szCs w:val="24"/>
        </w:rPr>
        <w:t xml:space="preserve">   - Ações válidas segundo intervalos de desempenho físico e orçamentário - Minas Gerais - 1º bimestre de 2020</w:t>
      </w:r>
      <w:r w:rsidRPr="00F13C70">
        <w:rPr>
          <w:noProof/>
        </w:rPr>
        <w:drawing>
          <wp:inline distT="0" distB="0" distL="0" distR="0" wp14:anchorId="0C13E009" wp14:editId="0D9BDF18">
            <wp:extent cx="4848225" cy="36861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3686175"/>
                    </a:xfrm>
                    <a:prstGeom prst="rect">
                      <a:avLst/>
                    </a:prstGeom>
                    <a:noFill/>
                    <a:ln>
                      <a:noFill/>
                    </a:ln>
                  </pic:spPr>
                </pic:pic>
              </a:graphicData>
            </a:graphic>
          </wp:inline>
        </w:drawing>
      </w:r>
    </w:p>
    <w:p w14:paraId="545842DA" w14:textId="77777777" w:rsidR="00F13C70" w:rsidRDefault="00F13C70" w:rsidP="00964541">
      <w:pPr>
        <w:spacing w:before="100" w:beforeAutospacing="1" w:after="100" w:afterAutospacing="1" w:line="360" w:lineRule="auto"/>
        <w:ind w:firstLine="709"/>
        <w:jc w:val="both"/>
        <w:rPr>
          <w:rFonts w:asciiTheme="minorHAnsi" w:hAnsiTheme="minorHAnsi" w:cstheme="minorHAnsi"/>
          <w:sz w:val="24"/>
          <w:szCs w:val="24"/>
        </w:rPr>
      </w:pPr>
      <w:r w:rsidRPr="00F13C70">
        <w:rPr>
          <w:rFonts w:asciiTheme="minorHAnsi" w:hAnsiTheme="minorHAnsi" w:cstheme="minorHAnsi"/>
          <w:sz w:val="24"/>
          <w:szCs w:val="24"/>
        </w:rPr>
        <w:lastRenderedPageBreak/>
        <w:t xml:space="preserve">É necessário esclarecer que as ações com desempenho inválido são aquelas classificadas como "não orçamentárias", as ações transpostas ou as ações criadas mediante crédito especial ou crédito extraordinário.  As ações “não orçamentárias” possuem apenas metas físicas, não sendo possível a análise do desempenho orçamentário. As ações transpostas, criadas por crédito especial ou por crédito extraordinário não foram previstas inicialmente na LOA, sendo institucionalizadas após a sanção da lei do orçamento mediante a publicação de decreto de transposição ou sanção de leis de abertura de crédito especial ou extraordinário. Atualmente existem 3 ações não orçamentárias inseridas em programas classificados como sociais e nenhuma ação transposta ou institucionalizada por crédito especial ou crédito extraordinário. </w:t>
      </w:r>
    </w:p>
    <w:p w14:paraId="0000007A" w14:textId="733002E7"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Da análise da Tabela 5, verifica-se que a maioria das ações </w:t>
      </w:r>
      <w:r w:rsidR="00F13C70" w:rsidRPr="00964541">
        <w:rPr>
          <w:rFonts w:asciiTheme="minorHAnsi" w:hAnsiTheme="minorHAnsi" w:cstheme="minorHAnsi"/>
          <w:sz w:val="24"/>
          <w:szCs w:val="24"/>
        </w:rPr>
        <w:t>se encontra</w:t>
      </w:r>
      <w:r w:rsidRPr="00964541">
        <w:rPr>
          <w:rFonts w:asciiTheme="minorHAnsi" w:hAnsiTheme="minorHAnsi" w:cstheme="minorHAnsi"/>
          <w:sz w:val="24"/>
          <w:szCs w:val="24"/>
        </w:rPr>
        <w:t xml:space="preserve"> no intervalo “Satisfatório” tanto no que se refere ao desempenho físico (48,04%), quanto em relação ao desempenho orçamentário (47,70%). </w:t>
      </w:r>
      <w:sdt>
        <w:sdtPr>
          <w:rPr>
            <w:rFonts w:asciiTheme="minorHAnsi" w:hAnsiTheme="minorHAnsi" w:cstheme="minorHAnsi"/>
            <w:sz w:val="24"/>
            <w:szCs w:val="24"/>
          </w:rPr>
          <w:tag w:val="goog_rdk_55"/>
          <w:id w:val="159048594"/>
        </w:sdtPr>
        <w:sdtEndPr/>
        <w:sdtContent/>
      </w:sdt>
      <w:r w:rsidRPr="00964541">
        <w:rPr>
          <w:rFonts w:asciiTheme="minorHAnsi" w:hAnsiTheme="minorHAnsi" w:cstheme="minorHAnsi"/>
          <w:sz w:val="24"/>
          <w:szCs w:val="24"/>
        </w:rPr>
        <w:t>Além disso, tem-se que 4,60% das ações estão posicionadas no intervalo “Crítico” no que diz respeito à dimensão orçamentária e 1,52% no que tange ao desempenho físico. Isso pode denotar uma maior proximidade da execução em relação à programação no primeiro bimestre de 2020.</w:t>
      </w:r>
    </w:p>
    <w:p w14:paraId="06BC829A" w14:textId="77777777" w:rsidR="00F13C70" w:rsidRPr="00F13C70" w:rsidRDefault="00F13C70" w:rsidP="00F13C70">
      <w:pPr>
        <w:spacing w:before="100" w:beforeAutospacing="1" w:after="100" w:afterAutospacing="1" w:line="360" w:lineRule="auto"/>
        <w:ind w:firstLine="709"/>
        <w:jc w:val="both"/>
        <w:rPr>
          <w:rFonts w:asciiTheme="minorHAnsi" w:hAnsiTheme="minorHAnsi" w:cstheme="minorHAnsi"/>
          <w:sz w:val="24"/>
          <w:szCs w:val="24"/>
        </w:rPr>
      </w:pPr>
      <w:r w:rsidRPr="00F13C70">
        <w:rPr>
          <w:rFonts w:asciiTheme="minorHAnsi" w:hAnsiTheme="minorHAnsi" w:cstheme="minorHAnsi"/>
          <w:sz w:val="24"/>
          <w:szCs w:val="24"/>
        </w:rPr>
        <w:t xml:space="preserve">Porém, é importante destacar a existência de um número considerável de ações sem meta estabelecida, ou seja, que não possuem programação para o período, sendo 46,30% referente ao desempenho físico e 46,39% em relação ao orçamentário, isto é, quase metade das ações não possui meta estabelecida para o primeiro bimestre. </w:t>
      </w:r>
    </w:p>
    <w:p w14:paraId="71E87A69" w14:textId="77777777" w:rsidR="00F13C70" w:rsidRDefault="00F13C70" w:rsidP="00F13C70">
      <w:pPr>
        <w:spacing w:before="100" w:beforeAutospacing="1" w:after="100" w:afterAutospacing="1" w:line="360" w:lineRule="auto"/>
        <w:ind w:firstLine="709"/>
        <w:jc w:val="both"/>
        <w:rPr>
          <w:rFonts w:asciiTheme="minorHAnsi" w:hAnsiTheme="minorHAnsi" w:cstheme="minorHAnsi"/>
          <w:sz w:val="24"/>
          <w:szCs w:val="24"/>
        </w:rPr>
      </w:pPr>
      <w:r w:rsidRPr="00F13C70">
        <w:rPr>
          <w:rFonts w:asciiTheme="minorHAnsi" w:hAnsiTheme="minorHAnsi" w:cstheme="minorHAnsi"/>
          <w:sz w:val="24"/>
          <w:szCs w:val="24"/>
        </w:rPr>
        <w:t xml:space="preserve">Isso pode ser explicado devido ao prazo tido pelo Poder Executivo para publicação do Decreto responsável por estabelecer a programação financeira e o cronograma de execução mensal de desembolso. Assim, sancionada a Lei Orçamentária Anual (LOA), há um prazo legal de 30 dias - vide art. 8º da Lei de Responsabilidade Fiscal (LRF) - para elaboração do Decreto, este que contém as regras para liberação do orçamento. Desse modo, é comum haver esse comportamento no desempenho das ações uma vez analisado o primeiro bimestre, uma vez que, conforme exposto, usualmente a execução do orçamento não se inicia em janeiro.      </w:t>
      </w:r>
    </w:p>
    <w:p w14:paraId="0000007F" w14:textId="177DECAE" w:rsidR="00AB5176" w:rsidRDefault="000D46B7" w:rsidP="00F13C70">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lastRenderedPageBreak/>
        <w:t>Considerando apenas as ações com metas detalhadas para o primeiro bimestre, excluindo aquelas sem programação para o período, a maioria apresentou desempenho físico satisfatório (48,04%), assim como em relação ao desempenho orçamentári</w:t>
      </w:r>
      <w:r w:rsidR="00A3524F">
        <w:rPr>
          <w:rFonts w:asciiTheme="minorHAnsi" w:hAnsiTheme="minorHAnsi" w:cstheme="minorHAnsi"/>
          <w:sz w:val="24"/>
          <w:szCs w:val="24"/>
        </w:rPr>
        <w:t>o (47,70%), conforme o Gráfico 1</w:t>
      </w:r>
      <w:r w:rsidRPr="00964541">
        <w:rPr>
          <w:rFonts w:asciiTheme="minorHAnsi" w:hAnsiTheme="minorHAnsi" w:cstheme="minorHAnsi"/>
          <w:sz w:val="24"/>
          <w:szCs w:val="24"/>
        </w:rPr>
        <w:t>:</w:t>
      </w:r>
    </w:p>
    <w:p w14:paraId="2BB2B305" w14:textId="610846EE" w:rsidR="00A3524F" w:rsidRPr="00964541" w:rsidRDefault="00A3524F" w:rsidP="00A3524F">
      <w:pPr>
        <w:spacing w:after="0" w:line="240" w:lineRule="auto"/>
        <w:ind w:firstLine="709"/>
        <w:contextualSpacing/>
        <w:jc w:val="both"/>
        <w:rPr>
          <w:rFonts w:asciiTheme="minorHAnsi" w:hAnsiTheme="minorHAnsi" w:cstheme="minorHAnsi"/>
          <w:sz w:val="24"/>
          <w:szCs w:val="24"/>
        </w:rPr>
      </w:pPr>
      <w:r>
        <w:rPr>
          <w:rFonts w:asciiTheme="minorHAnsi" w:hAnsiTheme="minorHAnsi" w:cstheme="minorHAnsi"/>
          <w:b/>
          <w:bCs/>
          <w:sz w:val="24"/>
          <w:szCs w:val="24"/>
        </w:rPr>
        <w:t>Gráfico 1</w:t>
      </w:r>
      <w:r>
        <w:rPr>
          <w:rFonts w:asciiTheme="minorHAnsi" w:hAnsiTheme="minorHAnsi" w:cstheme="minorHAnsi"/>
          <w:sz w:val="24"/>
          <w:szCs w:val="24"/>
        </w:rPr>
        <w:t xml:space="preserve"> - </w:t>
      </w:r>
      <w:r w:rsidRPr="00A3524F">
        <w:rPr>
          <w:rFonts w:asciiTheme="minorHAnsi" w:hAnsiTheme="minorHAnsi" w:cstheme="minorHAnsi"/>
          <w:sz w:val="24"/>
          <w:szCs w:val="24"/>
        </w:rPr>
        <w:t>Porcentagem de ações com programação para o período segundo intervalos de desempenho físico e orçamentário - Minas Gerais - 1º bimestre de 2020</w:t>
      </w:r>
    </w:p>
    <w:tbl>
      <w:tblPr>
        <w:tblStyle w:val="a"/>
        <w:tblW w:w="8263" w:type="dxa"/>
        <w:jc w:val="center"/>
        <w:tblInd w:w="0" w:type="dxa"/>
        <w:tblLayout w:type="fixed"/>
        <w:tblLook w:val="0400" w:firstRow="0" w:lastRow="0" w:firstColumn="0" w:lastColumn="0" w:noHBand="0" w:noVBand="1"/>
      </w:tblPr>
      <w:tblGrid>
        <w:gridCol w:w="8263"/>
      </w:tblGrid>
      <w:tr w:rsidR="00AB5176" w:rsidRPr="00964541" w14:paraId="6E61B6B7" w14:textId="77777777" w:rsidTr="00F13C70">
        <w:trPr>
          <w:trHeight w:val="276"/>
          <w:jc w:val="center"/>
        </w:trPr>
        <w:tc>
          <w:tcPr>
            <w:tcW w:w="8263" w:type="dxa"/>
            <w:tcBorders>
              <w:top w:val="nil"/>
              <w:left w:val="nil"/>
              <w:bottom w:val="nil"/>
              <w:right w:val="nil"/>
            </w:tcBorders>
            <w:shd w:val="clear" w:color="auto" w:fill="FFFFFF"/>
          </w:tcPr>
          <w:p w14:paraId="00000080" w14:textId="38B33526" w:rsidR="00AB5176" w:rsidRPr="006908B1" w:rsidRDefault="00A3524F" w:rsidP="00A3524F">
            <w:pPr>
              <w:spacing w:after="0" w:line="240" w:lineRule="auto"/>
              <w:jc w:val="center"/>
              <w:rPr>
                <w:rFonts w:asciiTheme="minorHAnsi" w:hAnsiTheme="minorHAnsi" w:cstheme="minorHAnsi"/>
                <w:sz w:val="20"/>
                <w:szCs w:val="20"/>
              </w:rPr>
            </w:pPr>
            <w:r w:rsidRPr="00A3524F">
              <w:rPr>
                <w:rFonts w:asciiTheme="minorHAnsi" w:hAnsiTheme="minorHAnsi" w:cstheme="minorHAnsi"/>
                <w:noProof/>
                <w:sz w:val="20"/>
                <w:szCs w:val="20"/>
              </w:rPr>
              <w:drawing>
                <wp:inline distT="0" distB="0" distL="0" distR="0" wp14:anchorId="32BCE794" wp14:editId="36D08F4F">
                  <wp:extent cx="5153025" cy="28289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2828925"/>
                          </a:xfrm>
                          <a:prstGeom prst="rect">
                            <a:avLst/>
                          </a:prstGeom>
                          <a:noFill/>
                          <a:ln>
                            <a:noFill/>
                          </a:ln>
                        </pic:spPr>
                      </pic:pic>
                    </a:graphicData>
                  </a:graphic>
                </wp:inline>
              </w:drawing>
            </w:r>
          </w:p>
          <w:p w14:paraId="00000081" w14:textId="77777777" w:rsidR="00AB5176" w:rsidRPr="006908B1" w:rsidRDefault="000D46B7" w:rsidP="006908B1">
            <w:pPr>
              <w:spacing w:after="0" w:line="240" w:lineRule="auto"/>
              <w:rPr>
                <w:rFonts w:asciiTheme="minorHAnsi" w:hAnsiTheme="minorHAnsi" w:cstheme="minorHAnsi"/>
                <w:color w:val="000000"/>
                <w:sz w:val="20"/>
                <w:szCs w:val="20"/>
              </w:rPr>
            </w:pPr>
            <w:r w:rsidRPr="006908B1">
              <w:rPr>
                <w:rFonts w:asciiTheme="minorHAnsi" w:hAnsiTheme="minorHAnsi" w:cstheme="minorHAnsi"/>
                <w:color w:val="000000"/>
                <w:sz w:val="20"/>
                <w:szCs w:val="20"/>
              </w:rPr>
              <w:t xml:space="preserve">Fonte: Sistema de Informações Gerenciais e de Planejamento (SIGPlan) </w:t>
            </w:r>
          </w:p>
        </w:tc>
      </w:tr>
      <w:tr w:rsidR="00AB5176" w:rsidRPr="00964541" w14:paraId="35AB7794" w14:textId="77777777" w:rsidTr="00F13C70">
        <w:trPr>
          <w:trHeight w:val="276"/>
          <w:jc w:val="center"/>
        </w:trPr>
        <w:tc>
          <w:tcPr>
            <w:tcW w:w="8263" w:type="dxa"/>
            <w:tcBorders>
              <w:top w:val="nil"/>
              <w:left w:val="nil"/>
              <w:bottom w:val="nil"/>
              <w:right w:val="nil"/>
            </w:tcBorders>
            <w:shd w:val="clear" w:color="auto" w:fill="FFFFFF"/>
          </w:tcPr>
          <w:p w14:paraId="00000082" w14:textId="77777777" w:rsidR="00AB5176" w:rsidRPr="006908B1" w:rsidRDefault="000D46B7" w:rsidP="006908B1">
            <w:pPr>
              <w:spacing w:after="0" w:line="240" w:lineRule="auto"/>
              <w:rPr>
                <w:rFonts w:asciiTheme="minorHAnsi" w:hAnsiTheme="minorHAnsi" w:cstheme="minorHAnsi"/>
                <w:color w:val="000000"/>
                <w:sz w:val="20"/>
                <w:szCs w:val="20"/>
              </w:rPr>
            </w:pPr>
            <w:r w:rsidRPr="006908B1">
              <w:rPr>
                <w:rFonts w:asciiTheme="minorHAnsi" w:hAnsiTheme="minorHAnsi" w:cstheme="minorHAnsi"/>
                <w:color w:val="000000"/>
                <w:sz w:val="20"/>
                <w:szCs w:val="20"/>
              </w:rPr>
              <w:t xml:space="preserve">Elaboração: Superintendência Central de Planejamento e Orçamento (SCPO) </w:t>
            </w:r>
          </w:p>
        </w:tc>
      </w:tr>
    </w:tbl>
    <w:p w14:paraId="00000084" w14:textId="557A1C89" w:rsidR="00AB5176"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Por sua vez, o desempenho físico e orçamentário consolidado das ações válidas dos programas sociais no primeiro bimestre de 2020, em relação às metas detalhadas e o tipo de acompanhamento destinado a cada uma das ações, são evidenciados na Tabela 6:</w:t>
      </w:r>
    </w:p>
    <w:p w14:paraId="48A58A63" w14:textId="11CD66EE" w:rsidR="00F13C70" w:rsidRDefault="00F13C70" w:rsidP="00964541">
      <w:pPr>
        <w:spacing w:before="100" w:beforeAutospacing="1" w:after="100" w:afterAutospacing="1" w:line="360" w:lineRule="auto"/>
        <w:ind w:firstLine="709"/>
        <w:jc w:val="both"/>
        <w:rPr>
          <w:rFonts w:asciiTheme="minorHAnsi" w:hAnsiTheme="minorHAnsi" w:cstheme="minorHAnsi"/>
          <w:sz w:val="24"/>
          <w:szCs w:val="24"/>
        </w:rPr>
      </w:pPr>
    </w:p>
    <w:p w14:paraId="0FF28232" w14:textId="65796173" w:rsidR="00F13C70" w:rsidRDefault="00F13C70" w:rsidP="00964541">
      <w:pPr>
        <w:spacing w:before="100" w:beforeAutospacing="1" w:after="100" w:afterAutospacing="1" w:line="360" w:lineRule="auto"/>
        <w:ind w:firstLine="709"/>
        <w:jc w:val="both"/>
        <w:rPr>
          <w:rFonts w:asciiTheme="minorHAnsi" w:hAnsiTheme="minorHAnsi" w:cstheme="minorHAnsi"/>
          <w:sz w:val="24"/>
          <w:szCs w:val="24"/>
        </w:rPr>
      </w:pPr>
    </w:p>
    <w:p w14:paraId="7C9C55D6" w14:textId="1495E383" w:rsidR="00F13C70" w:rsidRDefault="00F13C70" w:rsidP="00964541">
      <w:pPr>
        <w:spacing w:before="100" w:beforeAutospacing="1" w:after="100" w:afterAutospacing="1" w:line="360" w:lineRule="auto"/>
        <w:ind w:firstLine="709"/>
        <w:jc w:val="both"/>
        <w:rPr>
          <w:rFonts w:asciiTheme="minorHAnsi" w:hAnsiTheme="minorHAnsi" w:cstheme="minorHAnsi"/>
          <w:sz w:val="24"/>
          <w:szCs w:val="24"/>
        </w:rPr>
      </w:pPr>
    </w:p>
    <w:p w14:paraId="5545DA4D" w14:textId="73D4A146" w:rsidR="00F13C70" w:rsidRDefault="00F13C70" w:rsidP="00964541">
      <w:pPr>
        <w:spacing w:before="100" w:beforeAutospacing="1" w:after="100" w:afterAutospacing="1" w:line="360" w:lineRule="auto"/>
        <w:ind w:firstLine="709"/>
        <w:jc w:val="both"/>
        <w:rPr>
          <w:rFonts w:asciiTheme="minorHAnsi" w:hAnsiTheme="minorHAnsi" w:cstheme="minorHAnsi"/>
          <w:sz w:val="24"/>
          <w:szCs w:val="24"/>
        </w:rPr>
      </w:pPr>
    </w:p>
    <w:p w14:paraId="3F3BEA73" w14:textId="44493458" w:rsidR="00F13C70" w:rsidRDefault="00F13C70" w:rsidP="00964541">
      <w:pPr>
        <w:spacing w:before="100" w:beforeAutospacing="1" w:after="100" w:afterAutospacing="1" w:line="360" w:lineRule="auto"/>
        <w:ind w:firstLine="709"/>
        <w:jc w:val="both"/>
        <w:rPr>
          <w:rFonts w:asciiTheme="minorHAnsi" w:hAnsiTheme="minorHAnsi" w:cstheme="minorHAnsi"/>
          <w:sz w:val="24"/>
          <w:szCs w:val="24"/>
        </w:rPr>
      </w:pPr>
    </w:p>
    <w:p w14:paraId="7FFD0147" w14:textId="09775B8A" w:rsidR="00F13C70" w:rsidRPr="00F13C70" w:rsidRDefault="00F13C70" w:rsidP="00F13C70">
      <w:pPr>
        <w:spacing w:after="0" w:line="240" w:lineRule="auto"/>
        <w:ind w:firstLine="709"/>
        <w:contextualSpacing/>
        <w:jc w:val="center"/>
        <w:rPr>
          <w:sz w:val="24"/>
          <w:szCs w:val="24"/>
        </w:rPr>
      </w:pPr>
      <w:bookmarkStart w:id="0" w:name="_GoBack"/>
      <w:bookmarkEnd w:id="0"/>
      <w:r w:rsidRPr="00F13C70">
        <w:rPr>
          <w:b/>
          <w:sz w:val="24"/>
          <w:szCs w:val="24"/>
        </w:rPr>
        <w:lastRenderedPageBreak/>
        <w:t xml:space="preserve">Tabela 6 - </w:t>
      </w:r>
      <w:r w:rsidRPr="00F13C70">
        <w:rPr>
          <w:sz w:val="24"/>
          <w:szCs w:val="24"/>
        </w:rPr>
        <w:t>Ações válidas de todos os programas do PPAG segundo intervalos de desempenho e IAG - Minas Gerais - 1º bimestre de 2020</w:t>
      </w:r>
    </w:p>
    <w:p w14:paraId="00000085" w14:textId="6B246616" w:rsidR="00AB5176" w:rsidRPr="00964541" w:rsidRDefault="00F13C70" w:rsidP="00F13C70">
      <w:pPr>
        <w:spacing w:after="0" w:line="240" w:lineRule="auto"/>
        <w:contextualSpacing/>
        <w:jc w:val="center"/>
        <w:rPr>
          <w:rFonts w:asciiTheme="minorHAnsi" w:hAnsiTheme="minorHAnsi" w:cstheme="minorHAnsi"/>
          <w:sz w:val="24"/>
          <w:szCs w:val="24"/>
        </w:rPr>
      </w:pPr>
      <w:r w:rsidRPr="00F13C70">
        <w:rPr>
          <w:noProof/>
        </w:rPr>
        <w:drawing>
          <wp:inline distT="0" distB="0" distL="0" distR="0" wp14:anchorId="5CE63526" wp14:editId="7FCB97A8">
            <wp:extent cx="5612130" cy="4300625"/>
            <wp:effectExtent l="0" t="0" r="762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300625"/>
                    </a:xfrm>
                    <a:prstGeom prst="rect">
                      <a:avLst/>
                    </a:prstGeom>
                    <a:noFill/>
                    <a:ln>
                      <a:noFill/>
                    </a:ln>
                  </pic:spPr>
                </pic:pic>
              </a:graphicData>
            </a:graphic>
          </wp:inline>
        </w:drawing>
      </w:r>
    </w:p>
    <w:p w14:paraId="00000086" w14:textId="1E2D1AFA" w:rsidR="00AB5176" w:rsidRPr="00964541" w:rsidRDefault="000D46B7" w:rsidP="00F13C70">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Os dados acima demonstram uma considerável proporção de ações sem meta estabelecida para o período, sendo que, se tratando das ações de acompanhamento estratégico, 66,04% destas não possuem metas físicas estabelecidas para o período e 74,51% não detêm metas orçamentárias. Já no âmbito das “Ações de Demais Projetos e Atividades”, 43,73% não possuem programação física e 42,86% financeira para o período. </w:t>
      </w:r>
    </w:p>
    <w:p w14:paraId="00000087" w14:textId="77777777"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Como já tratado anteriormente, esse fato se refere à questão do Decreto que contém a programação financeira e o cronograma de execução mensal de desembolso, isto é, as regras para liberação do orçamento, que possui um prazo de 30 dias para ser publicado. Sendo assim, no primeiro bimestre não há execução orçamentária e entregas consideradas significativas.</w:t>
      </w:r>
    </w:p>
    <w:p w14:paraId="00000088" w14:textId="77777777"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lastRenderedPageBreak/>
        <w:t>Além disso, a partir da análise da Tabela 6, denota-se a preponderância do intervalo de desempenho “Satisfatório” para as “Ações de Demais Projetos e Atividades” em relação ao desempenho físico (49,88%), bem como para o desempenho orçamentário (50,74%). Já para “Ações de Projetos Estratégicos”, o intervalo preponderante foi, conforme já explanado, “Sem meta estabelecida”, tanto na dimensão física quanto orçamentária, seguida por “Satisfatório”, com 33,96% para a execução física e, novamente, “Satisfatório” (23,53%) para o desempenho orçamentário.</w:t>
      </w:r>
    </w:p>
    <w:p w14:paraId="01DC8F5A" w14:textId="77777777" w:rsidR="00F13C70"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Por outro lado, ao se considerar apenas as ações com metas detalhadas para o primeiro bimestre, excluindo as ações sem meta estabelecida, as ações de “Demais Projetos e Atividades” (acompanhamento geral) apresentaram desempenho físico “Satisfatório”, situado em 49,88%, e similarmente, as de “Projetos Estratégicos” (acompanhamento intensivo) obtiveram desempenho “Satisfatório”, este que </w:t>
      </w:r>
      <w:r w:rsidR="00F13C70" w:rsidRPr="00964541">
        <w:rPr>
          <w:rFonts w:asciiTheme="minorHAnsi" w:hAnsiTheme="minorHAnsi" w:cstheme="minorHAnsi"/>
          <w:sz w:val="24"/>
          <w:szCs w:val="24"/>
        </w:rPr>
        <w:t>se situou</w:t>
      </w:r>
      <w:r w:rsidRPr="00964541">
        <w:rPr>
          <w:rFonts w:asciiTheme="minorHAnsi" w:hAnsiTheme="minorHAnsi" w:cstheme="minorHAnsi"/>
          <w:sz w:val="24"/>
          <w:szCs w:val="24"/>
        </w:rPr>
        <w:t xml:space="preserve"> em 33,96%. </w:t>
      </w:r>
    </w:p>
    <w:p w14:paraId="00000089" w14:textId="423FD435" w:rsidR="00AB5176"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A lógica se replica no que se refere ao desempenho orçamentário, que foi predominantemente “Satisfatório” em relação às ações de acompanhamento geral (50,74%) e de acompanhamento intensiv</w:t>
      </w:r>
      <w:r w:rsidR="00A3524F">
        <w:rPr>
          <w:rFonts w:asciiTheme="minorHAnsi" w:hAnsiTheme="minorHAnsi" w:cstheme="minorHAnsi"/>
          <w:sz w:val="24"/>
          <w:szCs w:val="24"/>
        </w:rPr>
        <w:t>o (23,53%), conforme o Gráfico 2</w:t>
      </w:r>
      <w:r w:rsidRPr="00964541">
        <w:rPr>
          <w:rFonts w:asciiTheme="minorHAnsi" w:hAnsiTheme="minorHAnsi" w:cstheme="minorHAnsi"/>
          <w:sz w:val="24"/>
          <w:szCs w:val="24"/>
        </w:rPr>
        <w:t>:</w:t>
      </w:r>
    </w:p>
    <w:p w14:paraId="27A0E8B1" w14:textId="77777777" w:rsidR="00A3524F" w:rsidRDefault="00A3524F" w:rsidP="00A3524F">
      <w:pPr>
        <w:spacing w:before="100" w:beforeAutospacing="1" w:after="100" w:afterAutospacing="1" w:line="360" w:lineRule="auto"/>
        <w:ind w:firstLine="709"/>
        <w:jc w:val="both"/>
        <w:rPr>
          <w:rFonts w:asciiTheme="minorHAnsi" w:hAnsiTheme="minorHAnsi" w:cstheme="minorHAnsi"/>
          <w:sz w:val="24"/>
          <w:szCs w:val="24"/>
        </w:rPr>
      </w:pPr>
    </w:p>
    <w:p w14:paraId="50C5842E" w14:textId="77777777" w:rsidR="00A3524F" w:rsidRDefault="00A3524F" w:rsidP="00A3524F">
      <w:pPr>
        <w:spacing w:before="100" w:beforeAutospacing="1" w:after="100" w:afterAutospacing="1" w:line="360" w:lineRule="auto"/>
        <w:ind w:firstLine="709"/>
        <w:jc w:val="both"/>
        <w:rPr>
          <w:rFonts w:asciiTheme="minorHAnsi" w:hAnsiTheme="minorHAnsi" w:cstheme="minorHAnsi"/>
          <w:sz w:val="24"/>
          <w:szCs w:val="24"/>
        </w:rPr>
      </w:pPr>
    </w:p>
    <w:p w14:paraId="1BEA7BCA" w14:textId="77777777" w:rsidR="00A3524F" w:rsidRDefault="00A3524F" w:rsidP="00A3524F">
      <w:pPr>
        <w:spacing w:before="100" w:beforeAutospacing="1" w:after="100" w:afterAutospacing="1" w:line="360" w:lineRule="auto"/>
        <w:ind w:firstLine="709"/>
        <w:jc w:val="both"/>
        <w:rPr>
          <w:rFonts w:asciiTheme="minorHAnsi" w:hAnsiTheme="minorHAnsi" w:cstheme="minorHAnsi"/>
          <w:sz w:val="24"/>
          <w:szCs w:val="24"/>
        </w:rPr>
      </w:pPr>
    </w:p>
    <w:p w14:paraId="2A521444" w14:textId="77777777" w:rsidR="00A3524F" w:rsidRDefault="00A3524F" w:rsidP="00A3524F">
      <w:pPr>
        <w:spacing w:before="100" w:beforeAutospacing="1" w:after="100" w:afterAutospacing="1" w:line="360" w:lineRule="auto"/>
        <w:ind w:firstLine="709"/>
        <w:jc w:val="both"/>
        <w:rPr>
          <w:rFonts w:asciiTheme="minorHAnsi" w:hAnsiTheme="minorHAnsi" w:cstheme="minorHAnsi"/>
          <w:sz w:val="24"/>
          <w:szCs w:val="24"/>
        </w:rPr>
      </w:pPr>
    </w:p>
    <w:p w14:paraId="1835B597" w14:textId="77777777" w:rsidR="00A3524F" w:rsidRDefault="00A3524F" w:rsidP="00A3524F">
      <w:pPr>
        <w:spacing w:before="100" w:beforeAutospacing="1" w:after="100" w:afterAutospacing="1" w:line="360" w:lineRule="auto"/>
        <w:ind w:firstLine="709"/>
        <w:jc w:val="both"/>
        <w:rPr>
          <w:rFonts w:asciiTheme="minorHAnsi" w:hAnsiTheme="minorHAnsi" w:cstheme="minorHAnsi"/>
          <w:sz w:val="24"/>
          <w:szCs w:val="24"/>
        </w:rPr>
      </w:pPr>
    </w:p>
    <w:p w14:paraId="6D214249" w14:textId="77777777" w:rsidR="00A3524F" w:rsidRDefault="00A3524F" w:rsidP="00A3524F">
      <w:pPr>
        <w:spacing w:before="100" w:beforeAutospacing="1" w:after="100" w:afterAutospacing="1" w:line="360" w:lineRule="auto"/>
        <w:ind w:firstLine="709"/>
        <w:jc w:val="both"/>
        <w:rPr>
          <w:rFonts w:asciiTheme="minorHAnsi" w:hAnsiTheme="minorHAnsi" w:cstheme="minorHAnsi"/>
          <w:sz w:val="24"/>
          <w:szCs w:val="24"/>
        </w:rPr>
      </w:pPr>
    </w:p>
    <w:p w14:paraId="77D0B54D" w14:textId="77777777" w:rsidR="00A3524F" w:rsidRDefault="00A3524F" w:rsidP="00A3524F">
      <w:pPr>
        <w:spacing w:before="100" w:beforeAutospacing="1" w:after="100" w:afterAutospacing="1" w:line="360" w:lineRule="auto"/>
        <w:ind w:firstLine="709"/>
        <w:jc w:val="both"/>
        <w:rPr>
          <w:rFonts w:asciiTheme="minorHAnsi" w:hAnsiTheme="minorHAnsi" w:cstheme="minorHAnsi"/>
          <w:sz w:val="24"/>
          <w:szCs w:val="24"/>
        </w:rPr>
      </w:pPr>
    </w:p>
    <w:p w14:paraId="701519BD" w14:textId="6BE7F38C" w:rsidR="00A3524F" w:rsidRPr="00A3524F" w:rsidRDefault="00A3524F" w:rsidP="00A3524F">
      <w:pPr>
        <w:spacing w:after="0" w:line="240" w:lineRule="auto"/>
        <w:contextualSpacing/>
        <w:jc w:val="center"/>
        <w:rPr>
          <w:rFonts w:asciiTheme="minorHAnsi" w:hAnsiTheme="minorHAnsi" w:cstheme="minorHAnsi"/>
          <w:sz w:val="24"/>
          <w:szCs w:val="24"/>
        </w:rPr>
      </w:pPr>
      <w:r w:rsidRPr="00A3524F">
        <w:rPr>
          <w:rFonts w:asciiTheme="minorHAnsi" w:hAnsiTheme="minorHAnsi" w:cstheme="minorHAnsi"/>
          <w:b/>
          <w:sz w:val="24"/>
          <w:szCs w:val="24"/>
        </w:rPr>
        <w:lastRenderedPageBreak/>
        <w:t>Gráfico 2 -</w:t>
      </w:r>
      <w:r>
        <w:rPr>
          <w:rFonts w:asciiTheme="minorHAnsi" w:hAnsiTheme="minorHAnsi" w:cstheme="minorHAnsi"/>
          <w:sz w:val="24"/>
          <w:szCs w:val="24"/>
        </w:rPr>
        <w:t xml:space="preserve"> </w:t>
      </w:r>
      <w:r w:rsidRPr="00A3524F">
        <w:rPr>
          <w:rFonts w:asciiTheme="minorHAnsi" w:hAnsiTheme="minorHAnsi" w:cstheme="minorHAnsi"/>
          <w:sz w:val="24"/>
          <w:szCs w:val="24"/>
        </w:rPr>
        <w:t>percentual de ações de acompanhamento geral e intensivo, com programação para o período, segundo intervalos de desempenho físico e orçamentário - Minas Gerais - 1º bimestre de 2020</w:t>
      </w:r>
    </w:p>
    <w:p w14:paraId="25BCBBC3" w14:textId="667ACC8D" w:rsidR="00A3524F" w:rsidRPr="00964541" w:rsidRDefault="00A3524F" w:rsidP="00A3524F">
      <w:pPr>
        <w:spacing w:after="0" w:line="240" w:lineRule="auto"/>
        <w:contextualSpacing/>
        <w:jc w:val="center"/>
        <w:rPr>
          <w:rFonts w:asciiTheme="minorHAnsi" w:hAnsiTheme="minorHAnsi" w:cstheme="minorHAnsi"/>
          <w:sz w:val="24"/>
          <w:szCs w:val="24"/>
        </w:rPr>
      </w:pPr>
      <w:r w:rsidRPr="00A3524F">
        <w:drawing>
          <wp:inline distT="0" distB="0" distL="0" distR="0" wp14:anchorId="48649AFB" wp14:editId="786F79DB">
            <wp:extent cx="4867275" cy="377190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971" cy="3772439"/>
                    </a:xfrm>
                    <a:prstGeom prst="rect">
                      <a:avLst/>
                    </a:prstGeom>
                    <a:noFill/>
                    <a:ln>
                      <a:noFill/>
                    </a:ln>
                  </pic:spPr>
                </pic:pic>
              </a:graphicData>
            </a:graphic>
          </wp:inline>
        </w:drawing>
      </w:r>
    </w:p>
    <w:tbl>
      <w:tblPr>
        <w:tblStyle w:val="a0"/>
        <w:tblW w:w="8434" w:type="dxa"/>
        <w:tblInd w:w="0" w:type="dxa"/>
        <w:tblLayout w:type="fixed"/>
        <w:tblLook w:val="0400" w:firstRow="0" w:lastRow="0" w:firstColumn="0" w:lastColumn="0" w:noHBand="0" w:noVBand="1"/>
      </w:tblPr>
      <w:tblGrid>
        <w:gridCol w:w="8434"/>
      </w:tblGrid>
      <w:tr w:rsidR="00AB5176" w:rsidRPr="00964541" w14:paraId="0E172E3A" w14:textId="77777777">
        <w:trPr>
          <w:trHeight w:val="276"/>
        </w:trPr>
        <w:tc>
          <w:tcPr>
            <w:tcW w:w="8434" w:type="dxa"/>
            <w:tcBorders>
              <w:top w:val="nil"/>
              <w:left w:val="nil"/>
              <w:bottom w:val="nil"/>
              <w:right w:val="nil"/>
            </w:tcBorders>
            <w:shd w:val="clear" w:color="auto" w:fill="FFFFFF"/>
          </w:tcPr>
          <w:p w14:paraId="0000008B" w14:textId="77777777" w:rsidR="00AB5176" w:rsidRPr="006908B1" w:rsidRDefault="000D46B7" w:rsidP="00A3524F">
            <w:pPr>
              <w:spacing w:after="0" w:line="240" w:lineRule="auto"/>
              <w:ind w:left="351"/>
              <w:contextualSpacing/>
              <w:rPr>
                <w:rFonts w:asciiTheme="minorHAnsi" w:hAnsiTheme="minorHAnsi" w:cstheme="minorHAnsi"/>
                <w:color w:val="000000"/>
                <w:sz w:val="20"/>
                <w:szCs w:val="20"/>
              </w:rPr>
            </w:pPr>
            <w:r w:rsidRPr="006908B1">
              <w:rPr>
                <w:rFonts w:asciiTheme="minorHAnsi" w:hAnsiTheme="minorHAnsi" w:cstheme="minorHAnsi"/>
                <w:color w:val="000000"/>
                <w:sz w:val="20"/>
                <w:szCs w:val="20"/>
              </w:rPr>
              <w:t xml:space="preserve">Fonte: Sistema de Informações Gerenciais e de Planejamento (SIGPlan) </w:t>
            </w:r>
          </w:p>
        </w:tc>
      </w:tr>
      <w:tr w:rsidR="00AB5176" w:rsidRPr="00964541" w14:paraId="2A552929" w14:textId="77777777">
        <w:trPr>
          <w:trHeight w:val="276"/>
        </w:trPr>
        <w:tc>
          <w:tcPr>
            <w:tcW w:w="8434" w:type="dxa"/>
            <w:tcBorders>
              <w:top w:val="nil"/>
              <w:left w:val="nil"/>
              <w:bottom w:val="nil"/>
              <w:right w:val="nil"/>
            </w:tcBorders>
            <w:shd w:val="clear" w:color="auto" w:fill="FFFFFF"/>
          </w:tcPr>
          <w:p w14:paraId="0000008C" w14:textId="77777777" w:rsidR="00AB5176" w:rsidRPr="006908B1" w:rsidRDefault="000D46B7" w:rsidP="00A3524F">
            <w:pPr>
              <w:spacing w:after="0" w:line="240" w:lineRule="auto"/>
              <w:ind w:left="351"/>
              <w:contextualSpacing/>
              <w:rPr>
                <w:rFonts w:asciiTheme="minorHAnsi" w:hAnsiTheme="minorHAnsi" w:cstheme="minorHAnsi"/>
                <w:color w:val="000000"/>
                <w:sz w:val="20"/>
                <w:szCs w:val="20"/>
              </w:rPr>
            </w:pPr>
            <w:r w:rsidRPr="006908B1">
              <w:rPr>
                <w:rFonts w:asciiTheme="minorHAnsi" w:hAnsiTheme="minorHAnsi" w:cstheme="minorHAnsi"/>
                <w:color w:val="000000"/>
                <w:sz w:val="20"/>
                <w:szCs w:val="20"/>
              </w:rPr>
              <w:t xml:space="preserve">Elaboração: Superintendência Central de Planejamento e Orçamento (SCPO) </w:t>
            </w:r>
          </w:p>
        </w:tc>
      </w:tr>
    </w:tbl>
    <w:p w14:paraId="0000008D" w14:textId="56754A93" w:rsidR="00AB5176" w:rsidRPr="00964541" w:rsidRDefault="006908B1" w:rsidP="006908B1">
      <w:pPr>
        <w:spacing w:before="100" w:beforeAutospacing="1" w:after="100" w:afterAutospacing="1" w:line="360" w:lineRule="auto"/>
        <w:ind w:firstLine="357"/>
        <w:jc w:val="both"/>
        <w:rPr>
          <w:rFonts w:asciiTheme="minorHAnsi" w:hAnsiTheme="minorHAnsi" w:cstheme="minorHAnsi"/>
          <w:sz w:val="24"/>
          <w:szCs w:val="24"/>
          <w:highlight w:val="yellow"/>
        </w:rPr>
      </w:pPr>
      <w:r>
        <w:rPr>
          <w:sz w:val="24"/>
          <w:szCs w:val="24"/>
        </w:rPr>
        <w:t xml:space="preserve">Sendo assim afirma-se que o desempenho satisfatório foi predominante no 1º bimestre de 2020.      </w:t>
      </w:r>
    </w:p>
    <w:p w14:paraId="0000008E" w14:textId="77777777" w:rsidR="00AB5176" w:rsidRPr="00964541" w:rsidRDefault="000D46B7" w:rsidP="00964541">
      <w:pPr>
        <w:numPr>
          <w:ilvl w:val="1"/>
          <w:numId w:val="6"/>
        </w:numPr>
        <w:pBdr>
          <w:top w:val="nil"/>
          <w:left w:val="nil"/>
          <w:bottom w:val="nil"/>
          <w:right w:val="nil"/>
          <w:between w:val="nil"/>
        </w:pBdr>
        <w:spacing w:before="100" w:beforeAutospacing="1" w:after="100" w:afterAutospacing="1" w:line="360" w:lineRule="auto"/>
        <w:ind w:left="714" w:hanging="357"/>
        <w:jc w:val="both"/>
        <w:rPr>
          <w:rFonts w:asciiTheme="minorHAnsi" w:hAnsiTheme="minorHAnsi" w:cstheme="minorHAnsi"/>
          <w:b/>
          <w:color w:val="000000"/>
          <w:sz w:val="24"/>
          <w:szCs w:val="24"/>
        </w:rPr>
      </w:pPr>
      <w:r w:rsidRPr="00964541">
        <w:rPr>
          <w:rFonts w:asciiTheme="minorHAnsi" w:hAnsiTheme="minorHAnsi" w:cstheme="minorHAnsi"/>
          <w:b/>
          <w:sz w:val="24"/>
          <w:szCs w:val="24"/>
        </w:rPr>
        <w:t>REGIONALIZAÇÃO</w:t>
      </w:r>
      <w:sdt>
        <w:sdtPr>
          <w:rPr>
            <w:rFonts w:asciiTheme="minorHAnsi" w:hAnsiTheme="minorHAnsi" w:cstheme="minorHAnsi"/>
            <w:sz w:val="24"/>
            <w:szCs w:val="24"/>
          </w:rPr>
          <w:tag w:val="goog_rdk_64"/>
          <w:id w:val="1077011115"/>
        </w:sdtPr>
        <w:sdtEndPr/>
        <w:sdtContent/>
      </w:sdt>
      <w:r w:rsidRPr="00964541">
        <w:rPr>
          <w:rFonts w:asciiTheme="minorHAnsi" w:hAnsiTheme="minorHAnsi" w:cstheme="minorHAnsi"/>
          <w:b/>
          <w:color w:val="000000"/>
          <w:sz w:val="24"/>
          <w:szCs w:val="24"/>
        </w:rPr>
        <w:t xml:space="preserve"> DOS VALORES APORTADOS NOS PROGRAMAS SOCIAIS</w:t>
      </w:r>
    </w:p>
    <w:p w14:paraId="00000090" w14:textId="77777777" w:rsidR="00AB5176" w:rsidRPr="00964541" w:rsidRDefault="000D46B7" w:rsidP="00964541">
      <w:p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ab/>
        <w:t>Nesta seção será abordada a distribuição regional dos valores programados e executados no 1° bimestre de 2020 nos programas sociais.</w:t>
      </w:r>
    </w:p>
    <w:p w14:paraId="00000091" w14:textId="77777777" w:rsidR="00AB5176" w:rsidRPr="00964541" w:rsidRDefault="000D46B7" w:rsidP="00964541">
      <w:pPr>
        <w:spacing w:before="100" w:beforeAutospacing="1" w:after="100" w:afterAutospacing="1" w:line="360" w:lineRule="auto"/>
        <w:ind w:firstLine="720"/>
        <w:jc w:val="both"/>
        <w:rPr>
          <w:rFonts w:asciiTheme="minorHAnsi" w:hAnsiTheme="minorHAnsi" w:cstheme="minorHAnsi"/>
          <w:sz w:val="24"/>
          <w:szCs w:val="24"/>
        </w:rPr>
      </w:pPr>
      <w:r w:rsidRPr="00964541">
        <w:rPr>
          <w:rFonts w:asciiTheme="minorHAnsi" w:hAnsiTheme="minorHAnsi" w:cstheme="minorHAnsi"/>
          <w:sz w:val="24"/>
          <w:szCs w:val="24"/>
        </w:rPr>
        <w:t>O PPAG 2020-2023 utilizou como critério de regionalização as Regiões Geográficas Intermediárias, que foram adotadas pelo Instituto Brasileiro de Geografia e Estatística – IBGE, em 2017. Com essa nova metodologia, retratada no Mapa 1, o estado de Minas Gerais passa a ser dividido em 13 regiões, quais sejam:</w:t>
      </w:r>
    </w:p>
    <w:p w14:paraId="00000092"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Barbacena;</w:t>
      </w:r>
    </w:p>
    <w:p w14:paraId="00000093"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Belo Horizonte;</w:t>
      </w:r>
    </w:p>
    <w:p w14:paraId="00000094"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lastRenderedPageBreak/>
        <w:t>Região Intermediária de Divinópolis;</w:t>
      </w:r>
    </w:p>
    <w:p w14:paraId="00000095"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Governador Valadares;</w:t>
      </w:r>
    </w:p>
    <w:p w14:paraId="00000096"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Ipatinga;</w:t>
      </w:r>
    </w:p>
    <w:p w14:paraId="00000097"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 xml:space="preserve">Região Intermediária de Juiz de Fora; </w:t>
      </w:r>
    </w:p>
    <w:p w14:paraId="00000098"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Montes Claros;</w:t>
      </w:r>
    </w:p>
    <w:p w14:paraId="00000099"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Patos de Minas;</w:t>
      </w:r>
    </w:p>
    <w:p w14:paraId="0000009A"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Pouso Alegre;</w:t>
      </w:r>
    </w:p>
    <w:p w14:paraId="0000009B"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Teófilo Otoni;</w:t>
      </w:r>
    </w:p>
    <w:p w14:paraId="0000009C"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 xml:space="preserve">Região Intermediária de Uberaba; </w:t>
      </w:r>
    </w:p>
    <w:p w14:paraId="0000009D" w14:textId="77777777" w:rsidR="00AB5176" w:rsidRPr="00964541"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 xml:space="preserve">Região Intermediária de Uberlândia; </w:t>
      </w:r>
    </w:p>
    <w:p w14:paraId="0000009E" w14:textId="05742785" w:rsidR="00AB5176" w:rsidRDefault="000D46B7" w:rsidP="00964541">
      <w:pPr>
        <w:numPr>
          <w:ilvl w:val="0"/>
          <w:numId w:val="2"/>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Região Intermediária de Varginha.</w:t>
      </w:r>
    </w:p>
    <w:p w14:paraId="0000009F" w14:textId="56068DFF" w:rsidR="00AB5176" w:rsidRPr="00964541" w:rsidRDefault="000D46B7" w:rsidP="00F13C70">
      <w:pPr>
        <w:spacing w:after="0" w:line="240" w:lineRule="auto"/>
        <w:contextualSpacing/>
        <w:jc w:val="center"/>
        <w:rPr>
          <w:rFonts w:asciiTheme="minorHAnsi" w:hAnsiTheme="minorHAnsi" w:cstheme="minorHAnsi"/>
          <w:b/>
          <w:sz w:val="24"/>
          <w:szCs w:val="24"/>
        </w:rPr>
      </w:pPr>
      <w:r w:rsidRPr="00964541">
        <w:rPr>
          <w:rFonts w:asciiTheme="minorHAnsi" w:hAnsiTheme="minorHAnsi" w:cstheme="minorHAnsi"/>
          <w:b/>
          <w:sz w:val="24"/>
          <w:szCs w:val="24"/>
        </w:rPr>
        <w:t>Mapa 1</w:t>
      </w:r>
    </w:p>
    <w:p w14:paraId="000000A0" w14:textId="77777777" w:rsidR="00AB5176" w:rsidRPr="00964541" w:rsidRDefault="000D46B7" w:rsidP="00F13C70">
      <w:pPr>
        <w:spacing w:after="0" w:line="240" w:lineRule="auto"/>
        <w:contextualSpacing/>
        <w:jc w:val="center"/>
        <w:rPr>
          <w:rFonts w:asciiTheme="minorHAnsi" w:hAnsiTheme="minorHAnsi" w:cstheme="minorHAnsi"/>
          <w:sz w:val="24"/>
          <w:szCs w:val="24"/>
        </w:rPr>
      </w:pPr>
      <w:r w:rsidRPr="00964541">
        <w:rPr>
          <w:rFonts w:asciiTheme="minorHAnsi" w:hAnsiTheme="minorHAnsi" w:cstheme="minorHAnsi"/>
          <w:sz w:val="24"/>
          <w:szCs w:val="24"/>
        </w:rPr>
        <w:t>Regiões Geográficas Intermediárias de Minas Gerais – IBGE</w:t>
      </w:r>
    </w:p>
    <w:p w14:paraId="000000A2" w14:textId="77777777" w:rsidR="00AB5176" w:rsidRPr="00964541" w:rsidRDefault="000D46B7" w:rsidP="00F13C70">
      <w:pPr>
        <w:spacing w:after="0" w:line="240" w:lineRule="auto"/>
        <w:ind w:right="16"/>
        <w:contextualSpacing/>
        <w:jc w:val="center"/>
        <w:rPr>
          <w:rFonts w:asciiTheme="minorHAnsi" w:hAnsiTheme="minorHAnsi" w:cstheme="minorHAnsi"/>
          <w:sz w:val="24"/>
          <w:szCs w:val="24"/>
        </w:rPr>
      </w:pPr>
      <w:r w:rsidRPr="00964541">
        <w:rPr>
          <w:rFonts w:asciiTheme="minorHAnsi" w:hAnsiTheme="minorHAnsi" w:cstheme="minorHAnsi"/>
          <w:noProof/>
          <w:sz w:val="24"/>
          <w:szCs w:val="24"/>
        </w:rPr>
        <w:drawing>
          <wp:inline distT="114300" distB="114300" distL="114300" distR="114300">
            <wp:extent cx="5449253" cy="2800574"/>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l="25149" t="35653" r="24432" b="18289"/>
                    <a:stretch>
                      <a:fillRect/>
                    </a:stretch>
                  </pic:blipFill>
                  <pic:spPr>
                    <a:xfrm>
                      <a:off x="0" y="0"/>
                      <a:ext cx="5449253" cy="2800574"/>
                    </a:xfrm>
                    <a:prstGeom prst="rect">
                      <a:avLst/>
                    </a:prstGeom>
                    <a:ln/>
                  </pic:spPr>
                </pic:pic>
              </a:graphicData>
            </a:graphic>
          </wp:inline>
        </w:drawing>
      </w:r>
    </w:p>
    <w:p w14:paraId="000000A3" w14:textId="23F0488C" w:rsidR="00AB5176" w:rsidRPr="006908B1" w:rsidRDefault="000D46B7" w:rsidP="00F13C70">
      <w:pPr>
        <w:spacing w:after="0" w:line="240" w:lineRule="auto"/>
        <w:contextualSpacing/>
        <w:jc w:val="center"/>
        <w:rPr>
          <w:rFonts w:asciiTheme="minorHAnsi" w:hAnsiTheme="minorHAnsi" w:cstheme="minorHAnsi"/>
          <w:sz w:val="20"/>
          <w:szCs w:val="20"/>
        </w:rPr>
      </w:pPr>
      <w:r w:rsidRPr="006908B1">
        <w:rPr>
          <w:rFonts w:asciiTheme="minorHAnsi" w:hAnsiTheme="minorHAnsi" w:cstheme="minorHAnsi"/>
          <w:sz w:val="20"/>
          <w:szCs w:val="20"/>
        </w:rPr>
        <w:t xml:space="preserve">Fonte: Dados da Superintendência Central de Planejamento e Orçamento </w:t>
      </w:r>
      <w:r w:rsidR="00A918ED" w:rsidRPr="006908B1">
        <w:rPr>
          <w:rFonts w:asciiTheme="minorHAnsi" w:hAnsiTheme="minorHAnsi" w:cstheme="minorHAnsi"/>
          <w:sz w:val="20"/>
          <w:szCs w:val="20"/>
        </w:rPr>
        <w:t>–</w:t>
      </w:r>
      <w:r w:rsidRPr="006908B1">
        <w:rPr>
          <w:rFonts w:asciiTheme="minorHAnsi" w:hAnsiTheme="minorHAnsi" w:cstheme="minorHAnsi"/>
          <w:sz w:val="20"/>
          <w:szCs w:val="20"/>
        </w:rPr>
        <w:t xml:space="preserve"> </w:t>
      </w:r>
      <w:r w:rsidR="00A918ED" w:rsidRPr="006908B1">
        <w:rPr>
          <w:rFonts w:asciiTheme="minorHAnsi" w:hAnsiTheme="minorHAnsi" w:cstheme="minorHAnsi"/>
          <w:sz w:val="20"/>
          <w:szCs w:val="20"/>
        </w:rPr>
        <w:t>SCPO/</w:t>
      </w:r>
      <w:r w:rsidRPr="006908B1">
        <w:rPr>
          <w:rFonts w:asciiTheme="minorHAnsi" w:hAnsiTheme="minorHAnsi" w:cstheme="minorHAnsi"/>
          <w:sz w:val="20"/>
          <w:szCs w:val="20"/>
        </w:rPr>
        <w:t>SEPLAG</w:t>
      </w:r>
      <w:r w:rsidR="00A918ED" w:rsidRPr="006908B1">
        <w:rPr>
          <w:rFonts w:asciiTheme="minorHAnsi" w:hAnsiTheme="minorHAnsi" w:cstheme="minorHAnsi"/>
          <w:sz w:val="20"/>
          <w:szCs w:val="20"/>
        </w:rPr>
        <w:t xml:space="preserve"> </w:t>
      </w:r>
      <w:r w:rsidRPr="006908B1">
        <w:rPr>
          <w:rFonts w:asciiTheme="minorHAnsi" w:hAnsiTheme="minorHAnsi" w:cstheme="minorHAnsi"/>
          <w:sz w:val="20"/>
          <w:szCs w:val="20"/>
        </w:rPr>
        <w:t>-MG e Instituto Brasileiro de Geografia e Estatística - IBGE</w:t>
      </w:r>
    </w:p>
    <w:p w14:paraId="000000A4" w14:textId="77777777" w:rsidR="00AB5176" w:rsidRPr="00964541" w:rsidRDefault="000D46B7" w:rsidP="00964541">
      <w:pPr>
        <w:spacing w:before="100" w:beforeAutospacing="1" w:after="100" w:afterAutospacing="1" w:line="360" w:lineRule="auto"/>
        <w:ind w:firstLine="708"/>
        <w:jc w:val="both"/>
        <w:rPr>
          <w:rFonts w:asciiTheme="minorHAnsi" w:hAnsiTheme="minorHAnsi" w:cstheme="minorHAnsi"/>
          <w:sz w:val="24"/>
          <w:szCs w:val="24"/>
        </w:rPr>
      </w:pPr>
      <w:r w:rsidRPr="00964541">
        <w:rPr>
          <w:rFonts w:asciiTheme="minorHAnsi" w:hAnsiTheme="minorHAnsi" w:cstheme="minorHAnsi"/>
          <w:sz w:val="24"/>
          <w:szCs w:val="24"/>
        </w:rPr>
        <w:t>Nesse sentido, o termo regionalização passa a ser usado para se referir à distribuição da programação e execução das metas físicas e orçamentárias contidas nos programas e ações governamentais entre as 13 regiões, em substituição à divisão por territórios adotada durante a vigência do PPAG 2016-2019.</w:t>
      </w:r>
    </w:p>
    <w:p w14:paraId="000000A5" w14:textId="77777777" w:rsidR="00AB5176" w:rsidRPr="00964541" w:rsidRDefault="000D46B7" w:rsidP="00964541">
      <w:pPr>
        <w:spacing w:before="100" w:beforeAutospacing="1" w:after="100" w:afterAutospacing="1" w:line="360" w:lineRule="auto"/>
        <w:ind w:firstLine="708"/>
        <w:jc w:val="both"/>
        <w:rPr>
          <w:rFonts w:asciiTheme="minorHAnsi" w:hAnsiTheme="minorHAnsi" w:cstheme="minorHAnsi"/>
          <w:sz w:val="24"/>
          <w:szCs w:val="24"/>
        </w:rPr>
      </w:pPr>
      <w:r w:rsidRPr="00964541">
        <w:rPr>
          <w:rFonts w:asciiTheme="minorHAnsi" w:hAnsiTheme="minorHAnsi" w:cstheme="minorHAnsi"/>
          <w:sz w:val="24"/>
          <w:szCs w:val="24"/>
        </w:rPr>
        <w:lastRenderedPageBreak/>
        <w:t xml:space="preserve">Salienta-se que é possível a existência de programas governamentais cuja entrega/valor/benefício gerado contemplará, de forma indivisível, uma ou mais regiões ou o estado de Minas Gerais como um todo. Para tais casos não há que se falar em municipalização das metas. Sendo assim, a alocação espacial da programação e execução das metas físicas e orçamentárias contidas no PPAG ocorrerá de três maneiras distintas: </w:t>
      </w:r>
    </w:p>
    <w:p w14:paraId="000000A6" w14:textId="77777777" w:rsidR="00AB5176" w:rsidRPr="00964541" w:rsidRDefault="000D46B7" w:rsidP="00964541">
      <w:pPr>
        <w:numPr>
          <w:ilvl w:val="0"/>
          <w:numId w:val="3"/>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Municipal;</w:t>
      </w:r>
    </w:p>
    <w:p w14:paraId="000000A7" w14:textId="77777777" w:rsidR="00AB5176" w:rsidRPr="00964541" w:rsidRDefault="000D46B7" w:rsidP="00964541">
      <w:pPr>
        <w:numPr>
          <w:ilvl w:val="0"/>
          <w:numId w:val="3"/>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Regional;</w:t>
      </w:r>
    </w:p>
    <w:p w14:paraId="000000A8" w14:textId="77777777" w:rsidR="00AB5176" w:rsidRPr="00964541" w:rsidRDefault="000D46B7" w:rsidP="00964541">
      <w:pPr>
        <w:numPr>
          <w:ilvl w:val="0"/>
          <w:numId w:val="3"/>
        </w:num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Estadual.</w:t>
      </w:r>
    </w:p>
    <w:p w14:paraId="000000A9" w14:textId="789F339C" w:rsidR="00AB5176"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Os valores programados ou executados no localizador “Diversos Municípios – Estadual” foram incorporados às Regiões Intermediárias, proporcionalmente às respectivas populações. Na Tabela 7 é possível visualizar os dados consolidados da programação e execução global dos programas sociais, por Região Geográfica Intermediária.</w:t>
      </w:r>
    </w:p>
    <w:p w14:paraId="7F5C9C0E"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6E18B1A1"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30FEC477"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4DE81B57"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77F06ABF"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654C21E9"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719182BD"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2F42C6BB"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2746A9D1"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1E1FE02D"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23525E5C"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1427AB1A"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1A481218"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25B71955"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2D57ACE7"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2B40D50D"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5EC20CB1"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6FFF69EB"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77362F4E"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498E2A43"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616520D5"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2434BDA2"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5821F652" w14:textId="77777777" w:rsidR="006908B1" w:rsidRDefault="006908B1" w:rsidP="00A918ED">
      <w:pPr>
        <w:spacing w:after="0" w:line="240" w:lineRule="auto"/>
        <w:ind w:firstLine="709"/>
        <w:contextualSpacing/>
        <w:jc w:val="center"/>
        <w:rPr>
          <w:rFonts w:asciiTheme="minorHAnsi" w:hAnsiTheme="minorHAnsi" w:cstheme="minorHAnsi"/>
          <w:b/>
          <w:sz w:val="24"/>
          <w:szCs w:val="24"/>
        </w:rPr>
      </w:pPr>
    </w:p>
    <w:p w14:paraId="10BFBFCA" w14:textId="59A75491" w:rsidR="00A918ED" w:rsidRPr="00964541" w:rsidRDefault="00A918ED" w:rsidP="00A918ED">
      <w:pPr>
        <w:spacing w:after="0" w:line="240" w:lineRule="auto"/>
        <w:ind w:firstLine="709"/>
        <w:contextualSpacing/>
        <w:jc w:val="center"/>
        <w:rPr>
          <w:rFonts w:asciiTheme="minorHAnsi" w:hAnsiTheme="minorHAnsi" w:cstheme="minorHAnsi"/>
          <w:sz w:val="24"/>
          <w:szCs w:val="24"/>
        </w:rPr>
      </w:pPr>
      <w:r w:rsidRPr="00A918ED">
        <w:rPr>
          <w:rFonts w:asciiTheme="minorHAnsi" w:hAnsiTheme="minorHAnsi" w:cstheme="minorHAnsi"/>
          <w:b/>
          <w:sz w:val="24"/>
          <w:szCs w:val="24"/>
        </w:rPr>
        <w:t>Tabela 7</w:t>
      </w:r>
      <w:r>
        <w:rPr>
          <w:rFonts w:asciiTheme="minorHAnsi" w:hAnsiTheme="minorHAnsi" w:cstheme="minorHAnsi"/>
          <w:sz w:val="24"/>
          <w:szCs w:val="24"/>
        </w:rPr>
        <w:t xml:space="preserve"> - </w:t>
      </w:r>
      <w:r w:rsidRPr="00A918ED">
        <w:rPr>
          <w:rFonts w:asciiTheme="minorHAnsi" w:hAnsiTheme="minorHAnsi" w:cstheme="minorHAnsi"/>
          <w:sz w:val="24"/>
          <w:szCs w:val="24"/>
        </w:rPr>
        <w:t>Valor global programado e executado nos programas sociais por região geográfica intermediária - Minas Gerais - 1° bimestre de 2020</w:t>
      </w:r>
    </w:p>
    <w:p w14:paraId="000000AA" w14:textId="14DD48A1" w:rsidR="00AB5176" w:rsidRPr="00964541" w:rsidRDefault="00A918ED" w:rsidP="00A918ED">
      <w:pPr>
        <w:spacing w:after="0" w:line="360" w:lineRule="auto"/>
        <w:jc w:val="center"/>
        <w:rPr>
          <w:rFonts w:asciiTheme="minorHAnsi" w:hAnsiTheme="minorHAnsi" w:cstheme="minorHAnsi"/>
          <w:sz w:val="24"/>
          <w:szCs w:val="24"/>
        </w:rPr>
      </w:pPr>
      <w:r w:rsidRPr="00A918ED">
        <w:rPr>
          <w:noProof/>
        </w:rPr>
        <w:drawing>
          <wp:inline distT="0" distB="0" distL="0" distR="0" wp14:anchorId="390EE02B" wp14:editId="020B5005">
            <wp:extent cx="5612130" cy="6431159"/>
            <wp:effectExtent l="0" t="0" r="762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6431159"/>
                    </a:xfrm>
                    <a:prstGeom prst="rect">
                      <a:avLst/>
                    </a:prstGeom>
                    <a:noFill/>
                    <a:ln>
                      <a:noFill/>
                    </a:ln>
                  </pic:spPr>
                </pic:pic>
              </a:graphicData>
            </a:graphic>
          </wp:inline>
        </w:drawing>
      </w:r>
    </w:p>
    <w:p w14:paraId="000000AB" w14:textId="77777777" w:rsidR="00AB5176" w:rsidRPr="00964541" w:rsidRDefault="000D46B7" w:rsidP="00A918ED">
      <w:pPr>
        <w:spacing w:after="0"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De acordo com a tabela acima, as regiões que apresentaram maior participação na execução dos programas sociais foram: Região Intermediária de Belo Horizonte (38,05%), seguida das regiões de Juiz de Fora (9,31%) e de Montes Claros (7,96%). No que diz respeito à relação dos dispêndios executados sobre o programado, as regiões de </w:t>
      </w:r>
      <w:r w:rsidRPr="00964541">
        <w:rPr>
          <w:rFonts w:asciiTheme="minorHAnsi" w:hAnsiTheme="minorHAnsi" w:cstheme="minorHAnsi"/>
          <w:sz w:val="24"/>
          <w:szCs w:val="24"/>
        </w:rPr>
        <w:lastRenderedPageBreak/>
        <w:t>Teófilo Otoni (12,39%), de Pouso Alegre (11,57%) e de Divinópolis (10,58%) obtiveram os maiores percentuais para o período analisado.</w:t>
      </w:r>
    </w:p>
    <w:p w14:paraId="000000AC" w14:textId="78E5A141" w:rsidR="00AB5176"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Os valores globais dos programas sociais, por Região Geográfica Intermediária, também po</w:t>
      </w:r>
      <w:r w:rsidR="00973529">
        <w:rPr>
          <w:rFonts w:asciiTheme="minorHAnsi" w:hAnsiTheme="minorHAnsi" w:cstheme="minorHAnsi"/>
          <w:sz w:val="24"/>
          <w:szCs w:val="24"/>
        </w:rPr>
        <w:t>dem ser visualizados nos mapas 2 e 3</w:t>
      </w:r>
      <w:r w:rsidRPr="00964541">
        <w:rPr>
          <w:rFonts w:asciiTheme="minorHAnsi" w:hAnsiTheme="minorHAnsi" w:cstheme="minorHAnsi"/>
          <w:sz w:val="24"/>
          <w:szCs w:val="24"/>
        </w:rPr>
        <w:t>, que se seguem. Em ambos os casos, os valores de referência utilizados foram os valores mínimos e a média geral das regiões.</w:t>
      </w:r>
    </w:p>
    <w:tbl>
      <w:tblPr>
        <w:tblStyle w:val="Tabelacomgrade"/>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4"/>
      </w:tblGrid>
      <w:tr w:rsidR="00973529" w14:paraId="2C7775D7" w14:textId="77777777" w:rsidTr="00973529">
        <w:trPr>
          <w:trHeight w:val="1530"/>
        </w:trPr>
        <w:tc>
          <w:tcPr>
            <w:tcW w:w="4224" w:type="dxa"/>
          </w:tcPr>
          <w:p w14:paraId="1DD11F19" w14:textId="07F9C434" w:rsidR="00973529" w:rsidRPr="00973529" w:rsidRDefault="00973529" w:rsidP="006908B1">
            <w:pPr>
              <w:contextualSpacing/>
              <w:jc w:val="center"/>
              <w:rPr>
                <w:rFonts w:ascii="Times New Roman" w:eastAsia="Times New Roman" w:hAnsi="Times New Roman" w:cs="Times New Roman"/>
                <w:sz w:val="24"/>
                <w:szCs w:val="24"/>
              </w:rPr>
            </w:pPr>
            <w:r>
              <w:rPr>
                <w:rFonts w:eastAsia="Times New Roman"/>
                <w:b/>
                <w:bCs/>
                <w:color w:val="000000"/>
                <w:sz w:val="24"/>
                <w:szCs w:val="24"/>
              </w:rPr>
              <w:t>Mapa 2</w:t>
            </w:r>
          </w:p>
          <w:p w14:paraId="7AA2BAE0" w14:textId="67F91646" w:rsidR="00973529" w:rsidRPr="00973529" w:rsidRDefault="00973529" w:rsidP="006908B1">
            <w:pPr>
              <w:contextualSpacing/>
              <w:jc w:val="center"/>
              <w:rPr>
                <w:rFonts w:ascii="Times New Roman" w:eastAsia="Times New Roman" w:hAnsi="Times New Roman" w:cs="Times New Roman"/>
                <w:sz w:val="24"/>
                <w:szCs w:val="24"/>
              </w:rPr>
            </w:pPr>
            <w:r w:rsidRPr="00973529">
              <w:rPr>
                <w:rFonts w:eastAsia="Times New Roman"/>
                <w:color w:val="000000"/>
                <w:sz w:val="24"/>
                <w:szCs w:val="24"/>
              </w:rPr>
              <w:t>Valor Global Programado dos Programas Sociais por Região Geográfica Intermediária   – Minas Gerais – 2020</w:t>
            </w:r>
          </w:p>
          <w:p w14:paraId="3959E547" w14:textId="77777777" w:rsidR="00973529" w:rsidRDefault="00973529" w:rsidP="006908B1">
            <w:pPr>
              <w:spacing w:line="360" w:lineRule="auto"/>
              <w:contextualSpacing/>
              <w:jc w:val="both"/>
              <w:rPr>
                <w:rFonts w:asciiTheme="minorHAnsi" w:hAnsiTheme="minorHAnsi" w:cstheme="minorHAnsi"/>
                <w:sz w:val="24"/>
                <w:szCs w:val="24"/>
              </w:rPr>
            </w:pPr>
          </w:p>
        </w:tc>
        <w:tc>
          <w:tcPr>
            <w:tcW w:w="4224" w:type="dxa"/>
          </w:tcPr>
          <w:p w14:paraId="678F6B95" w14:textId="681C5017" w:rsidR="00973529" w:rsidRPr="00973529" w:rsidRDefault="00973529" w:rsidP="006908B1">
            <w:pPr>
              <w:ind w:right="515"/>
              <w:contextualSpacing/>
              <w:jc w:val="center"/>
              <w:rPr>
                <w:rFonts w:ascii="Times New Roman" w:eastAsia="Times New Roman" w:hAnsi="Times New Roman" w:cs="Times New Roman"/>
                <w:sz w:val="24"/>
                <w:szCs w:val="24"/>
              </w:rPr>
            </w:pPr>
            <w:r>
              <w:rPr>
                <w:rFonts w:eastAsia="Times New Roman"/>
                <w:b/>
                <w:bCs/>
                <w:color w:val="000000"/>
                <w:sz w:val="24"/>
                <w:szCs w:val="24"/>
              </w:rPr>
              <w:t>Mapa 3</w:t>
            </w:r>
          </w:p>
          <w:p w14:paraId="041F172A" w14:textId="2A1ABF85" w:rsidR="00973529" w:rsidRPr="00973529" w:rsidRDefault="00973529" w:rsidP="006908B1">
            <w:pPr>
              <w:ind w:left="61"/>
              <w:contextualSpacing/>
              <w:jc w:val="center"/>
              <w:rPr>
                <w:rFonts w:ascii="Times New Roman" w:eastAsia="Times New Roman" w:hAnsi="Times New Roman" w:cs="Times New Roman"/>
                <w:sz w:val="24"/>
                <w:szCs w:val="24"/>
              </w:rPr>
            </w:pPr>
            <w:r w:rsidRPr="00973529">
              <w:rPr>
                <w:rFonts w:eastAsia="Times New Roman"/>
                <w:color w:val="000000"/>
                <w:sz w:val="24"/>
                <w:szCs w:val="24"/>
              </w:rPr>
              <w:t>Valor Global Executado dos Programas Sociais por Região Geográfica Intermediária – Minas Gerais – 1° Bimestre 2020</w:t>
            </w:r>
          </w:p>
          <w:p w14:paraId="48BD97DB" w14:textId="77777777" w:rsidR="00973529" w:rsidRDefault="00973529" w:rsidP="006908B1">
            <w:pPr>
              <w:spacing w:line="360" w:lineRule="auto"/>
              <w:ind w:left="164"/>
              <w:contextualSpacing/>
              <w:jc w:val="both"/>
              <w:rPr>
                <w:rFonts w:asciiTheme="minorHAnsi" w:hAnsiTheme="minorHAnsi" w:cstheme="minorHAnsi"/>
                <w:sz w:val="24"/>
                <w:szCs w:val="24"/>
              </w:rPr>
            </w:pPr>
          </w:p>
        </w:tc>
      </w:tr>
    </w:tbl>
    <w:p w14:paraId="1710C6E5" w14:textId="59137A82" w:rsidR="00973529" w:rsidRDefault="00973529" w:rsidP="006908B1">
      <w:pPr>
        <w:spacing w:after="0" w:line="360" w:lineRule="auto"/>
        <w:contextualSpacing/>
        <w:jc w:val="both"/>
        <w:rPr>
          <w:rFonts w:asciiTheme="minorHAnsi" w:hAnsiTheme="minorHAnsi" w:cstheme="minorHAnsi"/>
          <w:sz w:val="24"/>
          <w:szCs w:val="24"/>
        </w:rPr>
      </w:pPr>
      <w:r w:rsidRPr="00964541">
        <w:rPr>
          <w:rFonts w:asciiTheme="minorHAnsi" w:hAnsiTheme="minorHAnsi" w:cstheme="minorHAnsi"/>
          <w:b/>
          <w:noProof/>
          <w:sz w:val="24"/>
          <w:szCs w:val="24"/>
        </w:rPr>
        <w:drawing>
          <wp:inline distT="114300" distB="114300" distL="114300" distR="114300" wp14:anchorId="35304D01" wp14:editId="388FA9BE">
            <wp:extent cx="5400040" cy="2073314"/>
            <wp:effectExtent l="0" t="0" r="0" b="3175"/>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29499" t="36296" r="27162" b="36134"/>
                    <a:stretch>
                      <a:fillRect/>
                    </a:stretch>
                  </pic:blipFill>
                  <pic:spPr>
                    <a:xfrm>
                      <a:off x="0" y="0"/>
                      <a:ext cx="5400040" cy="2073314"/>
                    </a:xfrm>
                    <a:prstGeom prst="rect">
                      <a:avLst/>
                    </a:prstGeom>
                    <a:ln/>
                  </pic:spPr>
                </pic:pic>
              </a:graphicData>
            </a:graphic>
          </wp:inline>
        </w:drawing>
      </w:r>
    </w:p>
    <w:tbl>
      <w:tblPr>
        <w:tblStyle w:val="Tabelacomgrade"/>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4"/>
      </w:tblGrid>
      <w:tr w:rsidR="00B533D6" w14:paraId="4A85655C" w14:textId="77777777" w:rsidTr="00034836">
        <w:trPr>
          <w:trHeight w:val="1530"/>
        </w:trPr>
        <w:tc>
          <w:tcPr>
            <w:tcW w:w="4224" w:type="dxa"/>
          </w:tcPr>
          <w:p w14:paraId="10A138A1" w14:textId="32D8F50E" w:rsidR="00B533D6" w:rsidRPr="00B533D6" w:rsidRDefault="00B533D6" w:rsidP="006908B1">
            <w:pPr>
              <w:contextualSpacing/>
              <w:jc w:val="both"/>
              <w:rPr>
                <w:rFonts w:asciiTheme="minorHAnsi" w:hAnsiTheme="minorHAnsi" w:cstheme="minorHAnsi"/>
                <w:sz w:val="20"/>
                <w:szCs w:val="20"/>
              </w:rPr>
            </w:pPr>
            <w:r w:rsidRPr="00B533D6">
              <w:rPr>
                <w:rFonts w:eastAsia="Times New Roman"/>
                <w:color w:val="000000"/>
                <w:sz w:val="20"/>
                <w:szCs w:val="20"/>
              </w:rPr>
              <w:t>Fonte: Dados da Superintendência Central de Planejamento e Orçamento - SEPLAG-MG e Instituto Brasileiro de Geografia e Estatística - IBGE</w:t>
            </w:r>
          </w:p>
        </w:tc>
        <w:tc>
          <w:tcPr>
            <w:tcW w:w="4224" w:type="dxa"/>
          </w:tcPr>
          <w:p w14:paraId="529573B9" w14:textId="7C94B33C" w:rsidR="00B533D6" w:rsidRPr="00B533D6" w:rsidRDefault="00B533D6" w:rsidP="006908B1">
            <w:pPr>
              <w:contextualSpacing/>
              <w:jc w:val="both"/>
              <w:rPr>
                <w:rFonts w:asciiTheme="minorHAnsi" w:hAnsiTheme="minorHAnsi" w:cstheme="minorHAnsi"/>
                <w:sz w:val="20"/>
                <w:szCs w:val="20"/>
              </w:rPr>
            </w:pPr>
            <w:r w:rsidRPr="00B533D6">
              <w:rPr>
                <w:rFonts w:eastAsia="Times New Roman"/>
                <w:color w:val="000000"/>
                <w:sz w:val="20"/>
                <w:szCs w:val="20"/>
              </w:rPr>
              <w:t>Fonte: Dados da Superintendência Central de Planejamento e Orçamento - SEPLAG-MG e Instituto Brasileiro de Geografia e Estatística - IBGE</w:t>
            </w:r>
          </w:p>
        </w:tc>
      </w:tr>
    </w:tbl>
    <w:p w14:paraId="000000C0" w14:textId="77777777" w:rsidR="00AB5176" w:rsidRPr="00964541" w:rsidRDefault="000D46B7" w:rsidP="006908B1">
      <w:pPr>
        <w:spacing w:after="0" w:line="360" w:lineRule="auto"/>
        <w:contextualSpacing/>
        <w:jc w:val="both"/>
        <w:rPr>
          <w:rFonts w:asciiTheme="minorHAnsi" w:hAnsiTheme="minorHAnsi" w:cstheme="minorHAnsi"/>
          <w:b/>
          <w:sz w:val="24"/>
          <w:szCs w:val="24"/>
        </w:rPr>
      </w:pPr>
      <w:r w:rsidRPr="00964541">
        <w:rPr>
          <w:rFonts w:asciiTheme="minorHAnsi" w:hAnsiTheme="minorHAnsi" w:cstheme="minorHAnsi"/>
          <w:b/>
          <w:sz w:val="24"/>
          <w:szCs w:val="24"/>
        </w:rPr>
        <w:t>Legenda</w:t>
      </w:r>
    </w:p>
    <w:tbl>
      <w:tblPr>
        <w:tblStyle w:val="TabelaSimples3"/>
        <w:tblW w:w="8505" w:type="dxa"/>
        <w:tblLayout w:type="fixed"/>
        <w:tblLook w:val="0600" w:firstRow="0" w:lastRow="0" w:firstColumn="0" w:lastColumn="0" w:noHBand="1" w:noVBand="1"/>
      </w:tblPr>
      <w:tblGrid>
        <w:gridCol w:w="4871"/>
        <w:gridCol w:w="3634"/>
      </w:tblGrid>
      <w:tr w:rsidR="00AB5176" w:rsidRPr="006908B1" w14:paraId="4FFCE0E3" w14:textId="77777777" w:rsidTr="006908B1">
        <w:trPr>
          <w:trHeight w:val="20"/>
        </w:trPr>
        <w:tc>
          <w:tcPr>
            <w:tcW w:w="4871" w:type="dxa"/>
          </w:tcPr>
          <w:p w14:paraId="000000C1" w14:textId="77777777" w:rsidR="00AB5176" w:rsidRPr="006908B1" w:rsidRDefault="000D46B7" w:rsidP="006908B1">
            <w:pPr>
              <w:widowControl w:val="0"/>
              <w:numPr>
                <w:ilvl w:val="0"/>
                <w:numId w:val="4"/>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Barbacena</w:t>
            </w:r>
          </w:p>
        </w:tc>
        <w:tc>
          <w:tcPr>
            <w:tcW w:w="3634" w:type="dxa"/>
          </w:tcPr>
          <w:p w14:paraId="000000C2" w14:textId="77777777" w:rsidR="00AB5176" w:rsidRPr="006908B1" w:rsidRDefault="000D46B7"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 xml:space="preserve">8. Região Intermediária de Patos de Minas </w:t>
            </w:r>
          </w:p>
        </w:tc>
      </w:tr>
      <w:tr w:rsidR="00AB5176" w:rsidRPr="006908B1" w14:paraId="334C48A5" w14:textId="77777777" w:rsidTr="006908B1">
        <w:trPr>
          <w:trHeight w:val="20"/>
        </w:trPr>
        <w:tc>
          <w:tcPr>
            <w:tcW w:w="4871" w:type="dxa"/>
          </w:tcPr>
          <w:p w14:paraId="000000C3" w14:textId="77777777" w:rsidR="00AB5176" w:rsidRPr="006908B1" w:rsidRDefault="000D46B7" w:rsidP="006908B1">
            <w:pPr>
              <w:widowControl w:val="0"/>
              <w:numPr>
                <w:ilvl w:val="0"/>
                <w:numId w:val="4"/>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Belo Horizonte</w:t>
            </w:r>
          </w:p>
        </w:tc>
        <w:tc>
          <w:tcPr>
            <w:tcW w:w="3634" w:type="dxa"/>
          </w:tcPr>
          <w:p w14:paraId="000000C4" w14:textId="77777777" w:rsidR="00AB5176" w:rsidRPr="006908B1" w:rsidRDefault="000D46B7"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9. Região Intermediária de Pouso Alegre</w:t>
            </w:r>
          </w:p>
        </w:tc>
      </w:tr>
      <w:tr w:rsidR="00AB5176" w:rsidRPr="006908B1" w14:paraId="108BB62A" w14:textId="77777777" w:rsidTr="006908B1">
        <w:trPr>
          <w:trHeight w:val="20"/>
        </w:trPr>
        <w:tc>
          <w:tcPr>
            <w:tcW w:w="4871" w:type="dxa"/>
          </w:tcPr>
          <w:p w14:paraId="000000C5" w14:textId="77777777" w:rsidR="00AB5176" w:rsidRPr="006908B1" w:rsidRDefault="000D46B7" w:rsidP="006908B1">
            <w:pPr>
              <w:widowControl w:val="0"/>
              <w:numPr>
                <w:ilvl w:val="0"/>
                <w:numId w:val="4"/>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Divinópolis</w:t>
            </w:r>
          </w:p>
        </w:tc>
        <w:tc>
          <w:tcPr>
            <w:tcW w:w="3634" w:type="dxa"/>
          </w:tcPr>
          <w:p w14:paraId="000000C6" w14:textId="77777777" w:rsidR="00AB5176" w:rsidRPr="006908B1" w:rsidRDefault="000D46B7"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10. Região Intermediária de Teófilo Otoni</w:t>
            </w:r>
          </w:p>
        </w:tc>
      </w:tr>
      <w:tr w:rsidR="00AB5176" w:rsidRPr="006908B1" w14:paraId="5AD82307" w14:textId="77777777" w:rsidTr="006908B1">
        <w:trPr>
          <w:trHeight w:val="20"/>
        </w:trPr>
        <w:tc>
          <w:tcPr>
            <w:tcW w:w="4871" w:type="dxa"/>
          </w:tcPr>
          <w:p w14:paraId="000000C7" w14:textId="77777777" w:rsidR="00AB5176" w:rsidRPr="006908B1" w:rsidRDefault="000D46B7" w:rsidP="006908B1">
            <w:pPr>
              <w:widowControl w:val="0"/>
              <w:numPr>
                <w:ilvl w:val="0"/>
                <w:numId w:val="4"/>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Governador Valadares</w:t>
            </w:r>
          </w:p>
        </w:tc>
        <w:tc>
          <w:tcPr>
            <w:tcW w:w="3634" w:type="dxa"/>
          </w:tcPr>
          <w:p w14:paraId="000000C8" w14:textId="77777777" w:rsidR="00AB5176" w:rsidRPr="006908B1" w:rsidRDefault="000D46B7"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11. Região Intermediária de Uberaba</w:t>
            </w:r>
          </w:p>
        </w:tc>
      </w:tr>
      <w:tr w:rsidR="00AB5176" w:rsidRPr="006908B1" w14:paraId="30C49F1B" w14:textId="77777777" w:rsidTr="006908B1">
        <w:trPr>
          <w:trHeight w:val="20"/>
        </w:trPr>
        <w:tc>
          <w:tcPr>
            <w:tcW w:w="4871" w:type="dxa"/>
          </w:tcPr>
          <w:p w14:paraId="000000C9" w14:textId="77777777" w:rsidR="00AB5176" w:rsidRPr="006908B1" w:rsidRDefault="000D46B7" w:rsidP="006908B1">
            <w:pPr>
              <w:widowControl w:val="0"/>
              <w:numPr>
                <w:ilvl w:val="0"/>
                <w:numId w:val="4"/>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Ipatinga</w:t>
            </w:r>
          </w:p>
        </w:tc>
        <w:tc>
          <w:tcPr>
            <w:tcW w:w="3634" w:type="dxa"/>
          </w:tcPr>
          <w:p w14:paraId="000000CA" w14:textId="77777777" w:rsidR="00AB5176" w:rsidRPr="006908B1" w:rsidRDefault="000D46B7"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12. Região Intermediária de Uberlândia</w:t>
            </w:r>
          </w:p>
        </w:tc>
      </w:tr>
      <w:tr w:rsidR="00AB5176" w:rsidRPr="006908B1" w14:paraId="0218A74E" w14:textId="77777777" w:rsidTr="006908B1">
        <w:trPr>
          <w:trHeight w:val="20"/>
        </w:trPr>
        <w:tc>
          <w:tcPr>
            <w:tcW w:w="4871" w:type="dxa"/>
          </w:tcPr>
          <w:p w14:paraId="000000CB" w14:textId="77777777" w:rsidR="00AB5176" w:rsidRPr="006908B1" w:rsidRDefault="000D46B7" w:rsidP="006908B1">
            <w:pPr>
              <w:widowControl w:val="0"/>
              <w:numPr>
                <w:ilvl w:val="0"/>
                <w:numId w:val="4"/>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Juiz de Fora</w:t>
            </w:r>
          </w:p>
        </w:tc>
        <w:tc>
          <w:tcPr>
            <w:tcW w:w="3634" w:type="dxa"/>
          </w:tcPr>
          <w:p w14:paraId="000000CC" w14:textId="77777777" w:rsidR="00AB5176" w:rsidRPr="006908B1" w:rsidRDefault="000D46B7"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13. Região Intermediária de Varginha</w:t>
            </w:r>
          </w:p>
        </w:tc>
      </w:tr>
      <w:tr w:rsidR="00AB5176" w:rsidRPr="006908B1" w14:paraId="06D6FC4F" w14:textId="77777777" w:rsidTr="006908B1">
        <w:trPr>
          <w:trHeight w:val="20"/>
        </w:trPr>
        <w:tc>
          <w:tcPr>
            <w:tcW w:w="4871" w:type="dxa"/>
          </w:tcPr>
          <w:p w14:paraId="000000CD" w14:textId="77777777" w:rsidR="00AB5176" w:rsidRPr="006908B1" w:rsidRDefault="000D46B7" w:rsidP="006908B1">
            <w:pPr>
              <w:widowControl w:val="0"/>
              <w:numPr>
                <w:ilvl w:val="0"/>
                <w:numId w:val="4"/>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Montes Claros</w:t>
            </w:r>
          </w:p>
        </w:tc>
        <w:tc>
          <w:tcPr>
            <w:tcW w:w="3634" w:type="dxa"/>
          </w:tcPr>
          <w:p w14:paraId="000000CE" w14:textId="77777777" w:rsidR="00AB5176" w:rsidRPr="006908B1" w:rsidRDefault="00AB5176" w:rsidP="006908B1">
            <w:pPr>
              <w:widowControl w:val="0"/>
              <w:contextualSpacing/>
              <w:rPr>
                <w:rFonts w:asciiTheme="minorHAnsi" w:hAnsiTheme="minorHAnsi" w:cstheme="minorHAnsi"/>
                <w:sz w:val="16"/>
                <w:szCs w:val="16"/>
              </w:rPr>
            </w:pPr>
          </w:p>
        </w:tc>
      </w:tr>
    </w:tbl>
    <w:p w14:paraId="000000CF" w14:textId="77777777" w:rsidR="00AB5176" w:rsidRPr="00964541" w:rsidRDefault="00AB5176" w:rsidP="00B533D6">
      <w:pPr>
        <w:keepLines/>
        <w:spacing w:after="0" w:line="360" w:lineRule="auto"/>
        <w:contextualSpacing/>
        <w:jc w:val="both"/>
        <w:rPr>
          <w:rFonts w:asciiTheme="minorHAnsi" w:hAnsiTheme="minorHAnsi" w:cstheme="minorHAnsi"/>
          <w:sz w:val="24"/>
          <w:szCs w:val="24"/>
        </w:rPr>
      </w:pPr>
    </w:p>
    <w:p w14:paraId="000000D0" w14:textId="5C928C1F"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As regiões com</w:t>
      </w:r>
      <w:r w:rsidR="00973529">
        <w:rPr>
          <w:rFonts w:asciiTheme="minorHAnsi" w:hAnsiTheme="minorHAnsi" w:cstheme="minorHAnsi"/>
          <w:sz w:val="24"/>
          <w:szCs w:val="24"/>
        </w:rPr>
        <w:t xml:space="preserve"> coloração mais escura no mapa 2</w:t>
      </w:r>
      <w:r w:rsidRPr="00964541">
        <w:rPr>
          <w:rFonts w:asciiTheme="minorHAnsi" w:hAnsiTheme="minorHAnsi" w:cstheme="minorHAnsi"/>
          <w:sz w:val="24"/>
          <w:szCs w:val="24"/>
        </w:rPr>
        <w:t xml:space="preserve"> (Região Intermediária de Belo Horizonte, Juiz de Fora e Montes Claros) são aquelas que detiveram o valor global programado, no ano de 2020, superior à R$ 2.930.547.497,15, que é a média geral das </w:t>
      </w:r>
      <w:r w:rsidRPr="00964541">
        <w:rPr>
          <w:rFonts w:asciiTheme="minorHAnsi" w:hAnsiTheme="minorHAnsi" w:cstheme="minorHAnsi"/>
          <w:sz w:val="24"/>
          <w:szCs w:val="24"/>
        </w:rPr>
        <w:lastRenderedPageBreak/>
        <w:t>regiões. As de cor mais clara, diz respeito às localidades que estão entre o valor mínimo (R$ 976.551.338,41 – Região Intermediária de Uberaba) e a média.</w:t>
      </w:r>
    </w:p>
    <w:p w14:paraId="000000D1" w14:textId="70AB7F7E"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t xml:space="preserve"> S</w:t>
      </w:r>
      <w:r w:rsidR="00973529">
        <w:rPr>
          <w:rFonts w:asciiTheme="minorHAnsi" w:hAnsiTheme="minorHAnsi" w:cstheme="minorHAnsi"/>
          <w:sz w:val="24"/>
          <w:szCs w:val="24"/>
        </w:rPr>
        <w:t>eguindo a mesma lógica, o mapa 2</w:t>
      </w:r>
      <w:r w:rsidRPr="00964541">
        <w:rPr>
          <w:rFonts w:asciiTheme="minorHAnsi" w:hAnsiTheme="minorHAnsi" w:cstheme="minorHAnsi"/>
          <w:sz w:val="24"/>
          <w:szCs w:val="24"/>
        </w:rPr>
        <w:t xml:space="preserve"> retrata o valor global executado dos programas sociais, no primeiro bimestre de 2020. As regiões mais escuras (idênticas ao mapa 2, com único acréscimo da Região Intermediária de Teófilo Otoni), são aquelas cujos dispêndios ficaram acima da média geral (R$ 246.789.974). As demais, ficaram entre o valor mínimo (R$ 85.914.938 – Região Intermediária de Uberaba) e a média. </w:t>
      </w:r>
    </w:p>
    <w:p w14:paraId="000000D2" w14:textId="77777777" w:rsidR="00AB5176" w:rsidRPr="00964541" w:rsidRDefault="000D46B7" w:rsidP="00964541">
      <w:pPr>
        <w:spacing w:before="100" w:beforeAutospacing="1" w:after="100" w:afterAutospacing="1" w:line="360" w:lineRule="auto"/>
        <w:ind w:right="16" w:firstLine="720"/>
        <w:jc w:val="both"/>
        <w:rPr>
          <w:rFonts w:asciiTheme="minorHAnsi" w:hAnsiTheme="minorHAnsi" w:cstheme="minorHAnsi"/>
          <w:sz w:val="24"/>
          <w:szCs w:val="24"/>
        </w:rPr>
      </w:pPr>
      <w:r w:rsidRPr="00964541">
        <w:rPr>
          <w:rFonts w:asciiTheme="minorHAnsi" w:hAnsiTheme="minorHAnsi" w:cstheme="minorHAnsi"/>
          <w:sz w:val="24"/>
          <w:szCs w:val="24"/>
        </w:rPr>
        <w:t xml:space="preserve">A Tabela 8, por sua vez, demonstra a distribuição </w:t>
      </w:r>
      <w:r w:rsidRPr="00964541">
        <w:rPr>
          <w:rFonts w:asciiTheme="minorHAnsi" w:hAnsiTheme="minorHAnsi" w:cstheme="minorHAnsi"/>
          <w:i/>
          <w:sz w:val="24"/>
          <w:szCs w:val="24"/>
        </w:rPr>
        <w:t>per capita</w:t>
      </w:r>
      <w:r w:rsidRPr="00964541">
        <w:rPr>
          <w:rFonts w:asciiTheme="minorHAnsi" w:hAnsiTheme="minorHAnsi" w:cstheme="minorHAnsi"/>
          <w:sz w:val="24"/>
          <w:szCs w:val="24"/>
        </w:rPr>
        <w:t xml:space="preserve"> dos valores programados e executados, dos programas sociais, em cada Região Geográfica Intermediária. O objetivo é evidenciar a proporcionalização dos gastos em relação ao quantitativo populacional das regiões.</w:t>
      </w:r>
    </w:p>
    <w:p w14:paraId="000000D3" w14:textId="7D166DAE" w:rsidR="00AB5176" w:rsidRDefault="000D46B7" w:rsidP="00964541">
      <w:pPr>
        <w:spacing w:before="100" w:beforeAutospacing="1" w:after="100" w:afterAutospacing="1" w:line="360" w:lineRule="auto"/>
        <w:ind w:right="16" w:firstLine="720"/>
        <w:jc w:val="both"/>
        <w:rPr>
          <w:rFonts w:asciiTheme="minorHAnsi" w:hAnsiTheme="minorHAnsi" w:cstheme="minorHAnsi"/>
          <w:sz w:val="24"/>
          <w:szCs w:val="24"/>
        </w:rPr>
      </w:pPr>
      <w:r w:rsidRPr="00964541">
        <w:rPr>
          <w:rFonts w:asciiTheme="minorHAnsi" w:hAnsiTheme="minorHAnsi" w:cstheme="minorHAnsi"/>
          <w:sz w:val="24"/>
          <w:szCs w:val="24"/>
        </w:rPr>
        <w:t>Analisando-se os dados abaixo, constatou-se que as regiões de Belo Horizonte (R$ 194,23</w:t>
      </w:r>
      <w:r w:rsidR="00973529" w:rsidRPr="00964541">
        <w:rPr>
          <w:rFonts w:asciiTheme="minorHAnsi" w:hAnsiTheme="minorHAnsi" w:cstheme="minorHAnsi"/>
          <w:sz w:val="24"/>
          <w:szCs w:val="24"/>
        </w:rPr>
        <w:t>),</w:t>
      </w:r>
      <w:r w:rsidRPr="00964541">
        <w:rPr>
          <w:rFonts w:asciiTheme="minorHAnsi" w:hAnsiTheme="minorHAnsi" w:cstheme="minorHAnsi"/>
          <w:sz w:val="24"/>
          <w:szCs w:val="24"/>
        </w:rPr>
        <w:t xml:space="preserve"> Teófilo Otoni (R$ 194,04) e Montes Claros (R$ 151,90) obtiveram os maiores valores de gasto </w:t>
      </w:r>
      <w:r w:rsidRPr="00964541">
        <w:rPr>
          <w:rFonts w:asciiTheme="minorHAnsi" w:hAnsiTheme="minorHAnsi" w:cstheme="minorHAnsi"/>
          <w:i/>
          <w:sz w:val="24"/>
          <w:szCs w:val="24"/>
        </w:rPr>
        <w:t xml:space="preserve">per capita, </w:t>
      </w:r>
      <w:r w:rsidRPr="00964541">
        <w:rPr>
          <w:rFonts w:asciiTheme="minorHAnsi" w:hAnsiTheme="minorHAnsi" w:cstheme="minorHAnsi"/>
          <w:sz w:val="24"/>
          <w:szCs w:val="24"/>
        </w:rPr>
        <w:t>nos programas sociais, nos meses de janeiro e fevereiro de 2020.</w:t>
      </w:r>
    </w:p>
    <w:p w14:paraId="607AA60B" w14:textId="5C40DB52"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3F2AC523" w14:textId="66D99C37"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454AD547" w14:textId="62E4E2D3"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01DEB749" w14:textId="582A1DF2"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62CBB01F" w14:textId="5E07FFDF"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73EFE42D" w14:textId="77777777" w:rsidR="006908B1" w:rsidRDefault="006908B1" w:rsidP="00964541">
      <w:pPr>
        <w:spacing w:before="100" w:beforeAutospacing="1" w:after="100" w:afterAutospacing="1" w:line="360" w:lineRule="auto"/>
        <w:ind w:right="16" w:firstLine="720"/>
        <w:jc w:val="both"/>
        <w:rPr>
          <w:rFonts w:asciiTheme="minorHAnsi" w:hAnsiTheme="minorHAnsi" w:cstheme="minorHAnsi"/>
          <w:sz w:val="24"/>
          <w:szCs w:val="24"/>
        </w:rPr>
      </w:pPr>
    </w:p>
    <w:p w14:paraId="4CAA240A" w14:textId="36356B26"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3A5C70A3" w14:textId="075A0345"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233C30AE" w14:textId="5724490B" w:rsidR="00973529" w:rsidRDefault="00973529" w:rsidP="00964541">
      <w:pPr>
        <w:spacing w:before="100" w:beforeAutospacing="1" w:after="100" w:afterAutospacing="1" w:line="360" w:lineRule="auto"/>
        <w:ind w:right="16" w:firstLine="720"/>
        <w:jc w:val="both"/>
        <w:rPr>
          <w:rFonts w:asciiTheme="minorHAnsi" w:hAnsiTheme="minorHAnsi" w:cstheme="minorHAnsi"/>
          <w:sz w:val="24"/>
          <w:szCs w:val="24"/>
        </w:rPr>
      </w:pPr>
    </w:p>
    <w:p w14:paraId="26130FED" w14:textId="2C9FB74A" w:rsidR="00973529" w:rsidRPr="00964541" w:rsidRDefault="00973529" w:rsidP="00973529">
      <w:pPr>
        <w:spacing w:after="0" w:line="240" w:lineRule="auto"/>
        <w:ind w:right="17" w:firstLine="720"/>
        <w:contextualSpacing/>
        <w:jc w:val="both"/>
        <w:rPr>
          <w:rFonts w:asciiTheme="minorHAnsi" w:hAnsiTheme="minorHAnsi" w:cstheme="minorHAnsi"/>
          <w:sz w:val="24"/>
          <w:szCs w:val="24"/>
        </w:rPr>
      </w:pPr>
      <w:r w:rsidRPr="00973529">
        <w:rPr>
          <w:rFonts w:asciiTheme="minorHAnsi" w:hAnsiTheme="minorHAnsi" w:cstheme="minorHAnsi"/>
          <w:b/>
          <w:sz w:val="24"/>
          <w:szCs w:val="24"/>
        </w:rPr>
        <w:t>Tabela 8</w:t>
      </w:r>
      <w:r>
        <w:rPr>
          <w:rFonts w:asciiTheme="minorHAnsi" w:hAnsiTheme="minorHAnsi" w:cstheme="minorHAnsi"/>
          <w:sz w:val="24"/>
          <w:szCs w:val="24"/>
        </w:rPr>
        <w:t xml:space="preserve"> - </w:t>
      </w:r>
      <w:r w:rsidRPr="00973529">
        <w:rPr>
          <w:rFonts w:asciiTheme="minorHAnsi" w:hAnsiTheme="minorHAnsi" w:cstheme="minorHAnsi"/>
          <w:sz w:val="24"/>
          <w:szCs w:val="24"/>
        </w:rPr>
        <w:t>Gasto per capita* programado e executado nos programas sociais por região geográfica intermediária - Minas Gerais - 1° bimestre de 2020</w:t>
      </w:r>
    </w:p>
    <w:p w14:paraId="000000D4" w14:textId="1968F907" w:rsidR="00AB5176" w:rsidRPr="00964541" w:rsidRDefault="00973529" w:rsidP="00973529">
      <w:pPr>
        <w:spacing w:after="0" w:line="360" w:lineRule="auto"/>
        <w:ind w:right="514"/>
        <w:contextualSpacing/>
        <w:jc w:val="center"/>
        <w:rPr>
          <w:rFonts w:asciiTheme="minorHAnsi" w:hAnsiTheme="minorHAnsi" w:cstheme="minorHAnsi"/>
          <w:sz w:val="24"/>
          <w:szCs w:val="24"/>
        </w:rPr>
      </w:pPr>
      <w:r w:rsidRPr="00973529">
        <w:rPr>
          <w:noProof/>
        </w:rPr>
        <w:drawing>
          <wp:inline distT="0" distB="0" distL="0" distR="0" wp14:anchorId="18ED6BCC" wp14:editId="1139113C">
            <wp:extent cx="5400040" cy="734255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7342554"/>
                    </a:xfrm>
                    <a:prstGeom prst="rect">
                      <a:avLst/>
                    </a:prstGeom>
                    <a:noFill/>
                    <a:ln>
                      <a:noFill/>
                    </a:ln>
                  </pic:spPr>
                </pic:pic>
              </a:graphicData>
            </a:graphic>
          </wp:inline>
        </w:drawing>
      </w:r>
    </w:p>
    <w:p w14:paraId="041ACCC1" w14:textId="77777777" w:rsidR="00973529" w:rsidRDefault="00973529" w:rsidP="00973529">
      <w:pPr>
        <w:spacing w:after="0" w:line="360" w:lineRule="auto"/>
        <w:ind w:firstLine="709"/>
        <w:contextualSpacing/>
        <w:jc w:val="both"/>
        <w:rPr>
          <w:rFonts w:asciiTheme="minorHAnsi" w:hAnsiTheme="minorHAnsi" w:cstheme="minorHAnsi"/>
          <w:sz w:val="24"/>
          <w:szCs w:val="24"/>
        </w:rPr>
      </w:pPr>
    </w:p>
    <w:p w14:paraId="5F3A023B" w14:textId="77777777" w:rsidR="00973529" w:rsidRDefault="00973529" w:rsidP="00964541">
      <w:pPr>
        <w:spacing w:before="100" w:beforeAutospacing="1" w:after="100" w:afterAutospacing="1" w:line="360" w:lineRule="auto"/>
        <w:ind w:firstLine="709"/>
        <w:jc w:val="both"/>
        <w:rPr>
          <w:rFonts w:asciiTheme="minorHAnsi" w:hAnsiTheme="minorHAnsi" w:cstheme="minorHAnsi"/>
          <w:sz w:val="24"/>
          <w:szCs w:val="24"/>
        </w:rPr>
      </w:pPr>
    </w:p>
    <w:p w14:paraId="000000D5" w14:textId="132DCDBA" w:rsidR="00AB5176" w:rsidRPr="00964541" w:rsidRDefault="000D46B7" w:rsidP="00964541">
      <w:pPr>
        <w:spacing w:before="100" w:beforeAutospacing="1" w:after="100" w:afterAutospacing="1" w:line="360" w:lineRule="auto"/>
        <w:ind w:firstLine="709"/>
        <w:jc w:val="both"/>
        <w:rPr>
          <w:rFonts w:asciiTheme="minorHAnsi" w:hAnsiTheme="minorHAnsi" w:cstheme="minorHAnsi"/>
          <w:b/>
          <w:sz w:val="24"/>
          <w:szCs w:val="24"/>
        </w:rPr>
        <w:sectPr w:rsidR="00AB5176" w:rsidRPr="00964541" w:rsidSect="000D46B7">
          <w:headerReference w:type="default" r:id="rId20"/>
          <w:footerReference w:type="first" r:id="rId21"/>
          <w:type w:val="continuous"/>
          <w:pgSz w:w="11906" w:h="16838"/>
          <w:pgMar w:top="1417" w:right="1701" w:bottom="1417" w:left="1701" w:header="709" w:footer="708" w:gutter="0"/>
          <w:cols w:space="720"/>
          <w:titlePg/>
          <w:docGrid w:linePitch="299"/>
        </w:sectPr>
      </w:pPr>
      <w:r w:rsidRPr="00964541">
        <w:rPr>
          <w:rFonts w:asciiTheme="minorHAnsi" w:hAnsiTheme="minorHAnsi" w:cstheme="minorHAnsi"/>
          <w:sz w:val="24"/>
          <w:szCs w:val="24"/>
        </w:rPr>
        <w:t>Analogamente, os mapas 4 e 5 apresentam o valor per capita, programado e executado dos programas sociais, por Região Geográfica Intermediária.</w:t>
      </w:r>
    </w:p>
    <w:tbl>
      <w:tblPr>
        <w:tblStyle w:val="Tabelacomgrade"/>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4"/>
      </w:tblGrid>
      <w:tr w:rsidR="00B533D6" w14:paraId="352DB8F0" w14:textId="77777777" w:rsidTr="00034836">
        <w:trPr>
          <w:trHeight w:val="1530"/>
        </w:trPr>
        <w:tc>
          <w:tcPr>
            <w:tcW w:w="4224" w:type="dxa"/>
          </w:tcPr>
          <w:p w14:paraId="31630D78" w14:textId="0DA1080D" w:rsidR="00B533D6" w:rsidRPr="00973529" w:rsidRDefault="00B533D6" w:rsidP="006908B1">
            <w:pPr>
              <w:contextualSpacing/>
              <w:jc w:val="center"/>
              <w:rPr>
                <w:rFonts w:ascii="Times New Roman" w:eastAsia="Times New Roman" w:hAnsi="Times New Roman" w:cs="Times New Roman"/>
                <w:sz w:val="24"/>
                <w:szCs w:val="24"/>
              </w:rPr>
            </w:pPr>
            <w:r>
              <w:rPr>
                <w:rFonts w:eastAsia="Times New Roman"/>
                <w:b/>
                <w:bCs/>
                <w:color w:val="000000"/>
                <w:sz w:val="24"/>
                <w:szCs w:val="24"/>
              </w:rPr>
              <w:t>Mapa 4</w:t>
            </w:r>
          </w:p>
          <w:p w14:paraId="223356AC" w14:textId="18BCD114" w:rsidR="00B533D6" w:rsidRDefault="00B533D6" w:rsidP="006908B1">
            <w:pPr>
              <w:contextualSpacing/>
              <w:jc w:val="center"/>
              <w:rPr>
                <w:rFonts w:asciiTheme="minorHAnsi" w:hAnsiTheme="minorHAnsi" w:cstheme="minorHAnsi"/>
                <w:sz w:val="24"/>
                <w:szCs w:val="24"/>
              </w:rPr>
            </w:pPr>
            <w:r w:rsidRPr="00B533D6">
              <w:rPr>
                <w:rFonts w:eastAsia="Times New Roman"/>
                <w:color w:val="000000"/>
                <w:sz w:val="24"/>
                <w:szCs w:val="24"/>
              </w:rPr>
              <w:t>Valor per Capita Programado nos Programas Sociais por Região Geográfica Intermediária  – Minas Gerais – 2020</w:t>
            </w:r>
          </w:p>
        </w:tc>
        <w:tc>
          <w:tcPr>
            <w:tcW w:w="4224" w:type="dxa"/>
          </w:tcPr>
          <w:p w14:paraId="2690CBBE" w14:textId="12785191" w:rsidR="00B533D6" w:rsidRPr="00973529" w:rsidRDefault="00B533D6" w:rsidP="006908B1">
            <w:pPr>
              <w:ind w:right="515"/>
              <w:contextualSpacing/>
              <w:jc w:val="center"/>
              <w:rPr>
                <w:rFonts w:ascii="Times New Roman" w:eastAsia="Times New Roman" w:hAnsi="Times New Roman" w:cs="Times New Roman"/>
                <w:sz w:val="24"/>
                <w:szCs w:val="24"/>
              </w:rPr>
            </w:pPr>
            <w:r>
              <w:rPr>
                <w:rFonts w:eastAsia="Times New Roman"/>
                <w:b/>
                <w:bCs/>
                <w:color w:val="000000"/>
                <w:sz w:val="24"/>
                <w:szCs w:val="24"/>
              </w:rPr>
              <w:t>Mapa 5</w:t>
            </w:r>
          </w:p>
          <w:p w14:paraId="3C6CCE28" w14:textId="2C8D115F" w:rsidR="00B533D6" w:rsidRDefault="00B533D6" w:rsidP="006908B1">
            <w:pPr>
              <w:contextualSpacing/>
              <w:jc w:val="center"/>
              <w:rPr>
                <w:rFonts w:asciiTheme="minorHAnsi" w:hAnsiTheme="minorHAnsi" w:cstheme="minorHAnsi"/>
                <w:sz w:val="24"/>
                <w:szCs w:val="24"/>
              </w:rPr>
            </w:pPr>
            <w:r w:rsidRPr="00B533D6">
              <w:rPr>
                <w:rFonts w:eastAsia="Times New Roman"/>
                <w:color w:val="000000"/>
                <w:sz w:val="24"/>
                <w:szCs w:val="24"/>
              </w:rPr>
              <w:t>Valor per Capita Executado nos Programas Sociais  por Região Geográfica Intermediária – Minas Gerais – 1° Bimestre 2020</w:t>
            </w:r>
          </w:p>
        </w:tc>
      </w:tr>
    </w:tbl>
    <w:p w14:paraId="000000E6" w14:textId="165E932D" w:rsidR="00AB5176" w:rsidRPr="00964541" w:rsidRDefault="006908B1" w:rsidP="006908B1">
      <w:pPr>
        <w:spacing w:after="0" w:line="360" w:lineRule="auto"/>
        <w:contextualSpacing/>
        <w:jc w:val="both"/>
        <w:rPr>
          <w:rFonts w:asciiTheme="minorHAnsi" w:hAnsiTheme="minorHAnsi" w:cstheme="minorHAnsi"/>
          <w:sz w:val="24"/>
          <w:szCs w:val="24"/>
        </w:rPr>
      </w:pPr>
      <w:r>
        <w:rPr>
          <w:noProof/>
        </w:rPr>
        <w:drawing>
          <wp:inline distT="0" distB="0" distL="0" distR="0" wp14:anchorId="4540D334" wp14:editId="1C431F4A">
            <wp:extent cx="5399405" cy="2148205"/>
            <wp:effectExtent l="0" t="0" r="0" b="444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99405" cy="2148205"/>
                    </a:xfrm>
                    <a:prstGeom prst="rect">
                      <a:avLst/>
                    </a:prstGeom>
                  </pic:spPr>
                </pic:pic>
              </a:graphicData>
            </a:graphic>
          </wp:inline>
        </w:drawing>
      </w:r>
    </w:p>
    <w:tbl>
      <w:tblPr>
        <w:tblStyle w:val="Tabelacomgrade"/>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4"/>
      </w:tblGrid>
      <w:tr w:rsidR="00B533D6" w14:paraId="3982C5B0" w14:textId="77777777" w:rsidTr="00034836">
        <w:trPr>
          <w:trHeight w:val="1530"/>
        </w:trPr>
        <w:tc>
          <w:tcPr>
            <w:tcW w:w="4224" w:type="dxa"/>
          </w:tcPr>
          <w:p w14:paraId="21674B57" w14:textId="77777777" w:rsidR="00B533D6" w:rsidRPr="00B533D6" w:rsidRDefault="00B533D6" w:rsidP="006908B1">
            <w:pPr>
              <w:contextualSpacing/>
              <w:jc w:val="both"/>
              <w:rPr>
                <w:rFonts w:asciiTheme="minorHAnsi" w:hAnsiTheme="minorHAnsi" w:cstheme="minorHAnsi"/>
                <w:sz w:val="20"/>
                <w:szCs w:val="20"/>
              </w:rPr>
            </w:pPr>
            <w:r w:rsidRPr="00B533D6">
              <w:rPr>
                <w:rFonts w:eastAsia="Times New Roman"/>
                <w:color w:val="000000"/>
                <w:sz w:val="20"/>
                <w:szCs w:val="20"/>
              </w:rPr>
              <w:t>Fonte: Dados da Superintendência Central de Planejamento e Orçamento - SEPLAG-MG e Instituto Brasileiro de Geografia e Estatística - IBGE</w:t>
            </w:r>
          </w:p>
        </w:tc>
        <w:tc>
          <w:tcPr>
            <w:tcW w:w="4224" w:type="dxa"/>
          </w:tcPr>
          <w:p w14:paraId="12C20D3E" w14:textId="77777777" w:rsidR="00B533D6" w:rsidRPr="00B533D6" w:rsidRDefault="00B533D6" w:rsidP="006908B1">
            <w:pPr>
              <w:contextualSpacing/>
              <w:jc w:val="both"/>
              <w:rPr>
                <w:rFonts w:asciiTheme="minorHAnsi" w:hAnsiTheme="minorHAnsi" w:cstheme="minorHAnsi"/>
                <w:sz w:val="20"/>
                <w:szCs w:val="20"/>
              </w:rPr>
            </w:pPr>
            <w:r w:rsidRPr="00B533D6">
              <w:rPr>
                <w:rFonts w:eastAsia="Times New Roman"/>
                <w:color w:val="000000"/>
                <w:sz w:val="20"/>
                <w:szCs w:val="20"/>
              </w:rPr>
              <w:t>Fonte: Dados da Superintendência Central de Planejamento e Orçamento - SEPLAG-MG e Instituto Brasileiro de Geografia e Estatística - IBGE</w:t>
            </w:r>
          </w:p>
        </w:tc>
      </w:tr>
    </w:tbl>
    <w:p w14:paraId="68E6B352" w14:textId="77777777" w:rsidR="00B533D6" w:rsidRPr="00964541" w:rsidRDefault="00B533D6" w:rsidP="006908B1">
      <w:pPr>
        <w:spacing w:after="0" w:line="360" w:lineRule="auto"/>
        <w:contextualSpacing/>
        <w:jc w:val="both"/>
        <w:rPr>
          <w:rFonts w:asciiTheme="minorHAnsi" w:hAnsiTheme="minorHAnsi" w:cstheme="minorHAnsi"/>
          <w:b/>
          <w:sz w:val="24"/>
          <w:szCs w:val="24"/>
        </w:rPr>
      </w:pPr>
      <w:r w:rsidRPr="00964541">
        <w:rPr>
          <w:rFonts w:asciiTheme="minorHAnsi" w:hAnsiTheme="minorHAnsi" w:cstheme="minorHAnsi"/>
          <w:b/>
          <w:sz w:val="24"/>
          <w:szCs w:val="24"/>
        </w:rPr>
        <w:t>Legenda</w:t>
      </w:r>
    </w:p>
    <w:tbl>
      <w:tblPr>
        <w:tblStyle w:val="TabelaSimples4"/>
        <w:tblW w:w="8505" w:type="dxa"/>
        <w:tblLayout w:type="fixed"/>
        <w:tblLook w:val="0600" w:firstRow="0" w:lastRow="0" w:firstColumn="0" w:lastColumn="0" w:noHBand="1" w:noVBand="1"/>
      </w:tblPr>
      <w:tblGrid>
        <w:gridCol w:w="4871"/>
        <w:gridCol w:w="3634"/>
      </w:tblGrid>
      <w:tr w:rsidR="00B533D6" w:rsidRPr="00A918ED" w14:paraId="1ED19A06" w14:textId="77777777" w:rsidTr="006908B1">
        <w:trPr>
          <w:trHeight w:val="20"/>
        </w:trPr>
        <w:tc>
          <w:tcPr>
            <w:tcW w:w="4871" w:type="dxa"/>
          </w:tcPr>
          <w:p w14:paraId="757A4E71" w14:textId="77777777" w:rsidR="00B533D6" w:rsidRPr="006908B1" w:rsidRDefault="00B533D6" w:rsidP="006908B1">
            <w:pPr>
              <w:widowControl w:val="0"/>
              <w:numPr>
                <w:ilvl w:val="0"/>
                <w:numId w:val="10"/>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Barbacena</w:t>
            </w:r>
          </w:p>
        </w:tc>
        <w:tc>
          <w:tcPr>
            <w:tcW w:w="3634" w:type="dxa"/>
          </w:tcPr>
          <w:p w14:paraId="70203657" w14:textId="77777777" w:rsidR="00B533D6" w:rsidRPr="006908B1" w:rsidRDefault="00B533D6"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 xml:space="preserve">8. Região Intermediária de Patos de Minas </w:t>
            </w:r>
          </w:p>
        </w:tc>
      </w:tr>
      <w:tr w:rsidR="00B533D6" w:rsidRPr="00A918ED" w14:paraId="4E68FF39" w14:textId="77777777" w:rsidTr="006908B1">
        <w:trPr>
          <w:trHeight w:val="20"/>
        </w:trPr>
        <w:tc>
          <w:tcPr>
            <w:tcW w:w="4871" w:type="dxa"/>
          </w:tcPr>
          <w:p w14:paraId="6A0E99BD" w14:textId="77777777" w:rsidR="00B533D6" w:rsidRPr="006908B1" w:rsidRDefault="00B533D6" w:rsidP="006908B1">
            <w:pPr>
              <w:widowControl w:val="0"/>
              <w:numPr>
                <w:ilvl w:val="0"/>
                <w:numId w:val="10"/>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Belo Horizonte</w:t>
            </w:r>
          </w:p>
        </w:tc>
        <w:tc>
          <w:tcPr>
            <w:tcW w:w="3634" w:type="dxa"/>
          </w:tcPr>
          <w:p w14:paraId="4D2CE564" w14:textId="77777777" w:rsidR="00B533D6" w:rsidRPr="006908B1" w:rsidRDefault="00B533D6"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9. Região Intermediária de Pouso Alegre</w:t>
            </w:r>
          </w:p>
        </w:tc>
      </w:tr>
      <w:tr w:rsidR="00B533D6" w:rsidRPr="00A918ED" w14:paraId="7AABC1F2" w14:textId="77777777" w:rsidTr="006908B1">
        <w:trPr>
          <w:trHeight w:val="20"/>
        </w:trPr>
        <w:tc>
          <w:tcPr>
            <w:tcW w:w="4871" w:type="dxa"/>
          </w:tcPr>
          <w:p w14:paraId="2D141C01" w14:textId="77777777" w:rsidR="00B533D6" w:rsidRPr="006908B1" w:rsidRDefault="00B533D6" w:rsidP="006908B1">
            <w:pPr>
              <w:widowControl w:val="0"/>
              <w:numPr>
                <w:ilvl w:val="0"/>
                <w:numId w:val="10"/>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Divinópolis</w:t>
            </w:r>
          </w:p>
        </w:tc>
        <w:tc>
          <w:tcPr>
            <w:tcW w:w="3634" w:type="dxa"/>
          </w:tcPr>
          <w:p w14:paraId="77831439" w14:textId="77777777" w:rsidR="00B533D6" w:rsidRPr="006908B1" w:rsidRDefault="00B533D6"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10. Região Intermediária de Teófilo Otoni</w:t>
            </w:r>
          </w:p>
        </w:tc>
      </w:tr>
      <w:tr w:rsidR="00B533D6" w:rsidRPr="00A918ED" w14:paraId="0D36CEBA" w14:textId="77777777" w:rsidTr="006908B1">
        <w:trPr>
          <w:trHeight w:val="20"/>
        </w:trPr>
        <w:tc>
          <w:tcPr>
            <w:tcW w:w="4871" w:type="dxa"/>
          </w:tcPr>
          <w:p w14:paraId="2A3C48D7" w14:textId="77777777" w:rsidR="00B533D6" w:rsidRPr="006908B1" w:rsidRDefault="00B533D6" w:rsidP="006908B1">
            <w:pPr>
              <w:widowControl w:val="0"/>
              <w:numPr>
                <w:ilvl w:val="0"/>
                <w:numId w:val="10"/>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Governador Valadares</w:t>
            </w:r>
          </w:p>
        </w:tc>
        <w:tc>
          <w:tcPr>
            <w:tcW w:w="3634" w:type="dxa"/>
          </w:tcPr>
          <w:p w14:paraId="65C3378B" w14:textId="77777777" w:rsidR="00B533D6" w:rsidRPr="006908B1" w:rsidRDefault="00B533D6"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11. Região Intermediária de Uberaba</w:t>
            </w:r>
          </w:p>
        </w:tc>
      </w:tr>
      <w:tr w:rsidR="00B533D6" w:rsidRPr="00A918ED" w14:paraId="542C0F76" w14:textId="77777777" w:rsidTr="006908B1">
        <w:trPr>
          <w:trHeight w:val="20"/>
        </w:trPr>
        <w:tc>
          <w:tcPr>
            <w:tcW w:w="4871" w:type="dxa"/>
          </w:tcPr>
          <w:p w14:paraId="0AA57962" w14:textId="77777777" w:rsidR="00B533D6" w:rsidRPr="006908B1" w:rsidRDefault="00B533D6" w:rsidP="006908B1">
            <w:pPr>
              <w:widowControl w:val="0"/>
              <w:numPr>
                <w:ilvl w:val="0"/>
                <w:numId w:val="10"/>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Ipatinga</w:t>
            </w:r>
          </w:p>
        </w:tc>
        <w:tc>
          <w:tcPr>
            <w:tcW w:w="3634" w:type="dxa"/>
          </w:tcPr>
          <w:p w14:paraId="092E66D8" w14:textId="77777777" w:rsidR="00B533D6" w:rsidRPr="006908B1" w:rsidRDefault="00B533D6"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12. Região Intermediária de Uberlândia</w:t>
            </w:r>
          </w:p>
        </w:tc>
      </w:tr>
      <w:tr w:rsidR="00B533D6" w:rsidRPr="00A918ED" w14:paraId="4ADFFEB8" w14:textId="77777777" w:rsidTr="006908B1">
        <w:trPr>
          <w:trHeight w:val="20"/>
        </w:trPr>
        <w:tc>
          <w:tcPr>
            <w:tcW w:w="4871" w:type="dxa"/>
          </w:tcPr>
          <w:p w14:paraId="3959F50A" w14:textId="77777777" w:rsidR="00B533D6" w:rsidRPr="006908B1" w:rsidRDefault="00B533D6" w:rsidP="006908B1">
            <w:pPr>
              <w:widowControl w:val="0"/>
              <w:numPr>
                <w:ilvl w:val="0"/>
                <w:numId w:val="10"/>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Juiz de Fora</w:t>
            </w:r>
          </w:p>
        </w:tc>
        <w:tc>
          <w:tcPr>
            <w:tcW w:w="3634" w:type="dxa"/>
          </w:tcPr>
          <w:p w14:paraId="4B1A4BEF" w14:textId="77777777" w:rsidR="00B533D6" w:rsidRPr="006908B1" w:rsidRDefault="00B533D6" w:rsidP="006908B1">
            <w:pPr>
              <w:widowControl w:val="0"/>
              <w:contextualSpacing/>
              <w:rPr>
                <w:rFonts w:asciiTheme="minorHAnsi" w:hAnsiTheme="minorHAnsi" w:cstheme="minorHAnsi"/>
                <w:sz w:val="16"/>
                <w:szCs w:val="16"/>
              </w:rPr>
            </w:pPr>
            <w:r w:rsidRPr="006908B1">
              <w:rPr>
                <w:rFonts w:asciiTheme="minorHAnsi" w:hAnsiTheme="minorHAnsi" w:cstheme="minorHAnsi"/>
                <w:sz w:val="16"/>
                <w:szCs w:val="16"/>
              </w:rPr>
              <w:t>13. Região Intermediária de Varginha</w:t>
            </w:r>
          </w:p>
        </w:tc>
      </w:tr>
      <w:tr w:rsidR="00B533D6" w:rsidRPr="00A918ED" w14:paraId="68FBA4E5" w14:textId="77777777" w:rsidTr="006908B1">
        <w:trPr>
          <w:trHeight w:val="20"/>
        </w:trPr>
        <w:tc>
          <w:tcPr>
            <w:tcW w:w="4871" w:type="dxa"/>
          </w:tcPr>
          <w:p w14:paraId="0E3BAC18" w14:textId="77777777" w:rsidR="00B533D6" w:rsidRPr="006908B1" w:rsidRDefault="00B533D6" w:rsidP="006908B1">
            <w:pPr>
              <w:widowControl w:val="0"/>
              <w:numPr>
                <w:ilvl w:val="0"/>
                <w:numId w:val="10"/>
              </w:numPr>
              <w:contextualSpacing/>
              <w:rPr>
                <w:rFonts w:asciiTheme="minorHAnsi" w:hAnsiTheme="minorHAnsi" w:cstheme="minorHAnsi"/>
                <w:sz w:val="16"/>
                <w:szCs w:val="16"/>
              </w:rPr>
            </w:pPr>
            <w:r w:rsidRPr="006908B1">
              <w:rPr>
                <w:rFonts w:asciiTheme="minorHAnsi" w:hAnsiTheme="minorHAnsi" w:cstheme="minorHAnsi"/>
                <w:sz w:val="16"/>
                <w:szCs w:val="16"/>
              </w:rPr>
              <w:t>Região Intermediária de Montes Claros</w:t>
            </w:r>
          </w:p>
        </w:tc>
        <w:tc>
          <w:tcPr>
            <w:tcW w:w="3634" w:type="dxa"/>
          </w:tcPr>
          <w:p w14:paraId="2245C0A1" w14:textId="77777777" w:rsidR="00B533D6" w:rsidRPr="006908B1" w:rsidRDefault="00B533D6" w:rsidP="006908B1">
            <w:pPr>
              <w:widowControl w:val="0"/>
              <w:contextualSpacing/>
              <w:rPr>
                <w:rFonts w:asciiTheme="minorHAnsi" w:hAnsiTheme="minorHAnsi" w:cstheme="minorHAnsi"/>
                <w:sz w:val="16"/>
                <w:szCs w:val="16"/>
              </w:rPr>
            </w:pPr>
          </w:p>
        </w:tc>
      </w:tr>
    </w:tbl>
    <w:p w14:paraId="000000FC" w14:textId="4F52B085" w:rsidR="00AB5176" w:rsidRPr="00964541" w:rsidRDefault="000D46B7" w:rsidP="00964541">
      <w:pPr>
        <w:spacing w:before="100" w:beforeAutospacing="1" w:after="100" w:afterAutospacing="1" w:line="360" w:lineRule="auto"/>
        <w:jc w:val="both"/>
        <w:rPr>
          <w:rFonts w:asciiTheme="minorHAnsi" w:hAnsiTheme="minorHAnsi" w:cstheme="minorHAnsi"/>
          <w:sz w:val="24"/>
          <w:szCs w:val="24"/>
        </w:rPr>
      </w:pPr>
      <w:r w:rsidRPr="00964541">
        <w:rPr>
          <w:rFonts w:asciiTheme="minorHAnsi" w:hAnsiTheme="minorHAnsi" w:cstheme="minorHAnsi"/>
          <w:sz w:val="24"/>
          <w:szCs w:val="24"/>
        </w:rPr>
        <w:t xml:space="preserve">       </w:t>
      </w:r>
    </w:p>
    <w:p w14:paraId="000000FD" w14:textId="77777777" w:rsidR="00AB5176" w:rsidRPr="00964541" w:rsidRDefault="000D46B7" w:rsidP="00964541">
      <w:pPr>
        <w:spacing w:before="100" w:beforeAutospacing="1" w:after="100" w:afterAutospacing="1" w:line="360" w:lineRule="auto"/>
        <w:ind w:firstLine="720"/>
        <w:jc w:val="both"/>
        <w:rPr>
          <w:rFonts w:asciiTheme="minorHAnsi" w:hAnsiTheme="minorHAnsi" w:cstheme="minorHAnsi"/>
          <w:sz w:val="24"/>
          <w:szCs w:val="24"/>
        </w:rPr>
      </w:pPr>
      <w:r w:rsidRPr="00964541">
        <w:rPr>
          <w:rFonts w:asciiTheme="minorHAnsi" w:hAnsiTheme="minorHAnsi" w:cstheme="minorHAnsi"/>
          <w:sz w:val="24"/>
          <w:szCs w:val="24"/>
        </w:rPr>
        <w:t xml:space="preserve">No mapa 4, as regiões em verde escuro (Região Geográfica Intermediária de Belo Horizonte, Montes Claros, Teófilo Otoni e Patos de Minas) são as que detiveram o valor global programado </w:t>
      </w:r>
      <w:r w:rsidRPr="00964541">
        <w:rPr>
          <w:rFonts w:asciiTheme="minorHAnsi" w:hAnsiTheme="minorHAnsi" w:cstheme="minorHAnsi"/>
          <w:i/>
          <w:sz w:val="24"/>
          <w:szCs w:val="24"/>
        </w:rPr>
        <w:t>per capita</w:t>
      </w:r>
      <w:r w:rsidRPr="00964541">
        <w:rPr>
          <w:rFonts w:asciiTheme="minorHAnsi" w:hAnsiTheme="minorHAnsi" w:cstheme="minorHAnsi"/>
          <w:sz w:val="24"/>
          <w:szCs w:val="24"/>
        </w:rPr>
        <w:t>,</w:t>
      </w:r>
      <w:r w:rsidRPr="00964541">
        <w:rPr>
          <w:rFonts w:asciiTheme="minorHAnsi" w:hAnsiTheme="minorHAnsi" w:cstheme="minorHAnsi"/>
          <w:i/>
          <w:sz w:val="24"/>
          <w:szCs w:val="24"/>
        </w:rPr>
        <w:t xml:space="preserve"> </w:t>
      </w:r>
      <w:r w:rsidRPr="00964541">
        <w:rPr>
          <w:rFonts w:asciiTheme="minorHAnsi" w:hAnsiTheme="minorHAnsi" w:cstheme="minorHAnsi"/>
          <w:sz w:val="24"/>
          <w:szCs w:val="24"/>
        </w:rPr>
        <w:t>dos programas</w:t>
      </w:r>
      <w:r w:rsidRPr="00964541">
        <w:rPr>
          <w:rFonts w:asciiTheme="minorHAnsi" w:hAnsiTheme="minorHAnsi" w:cstheme="minorHAnsi"/>
          <w:i/>
          <w:sz w:val="24"/>
          <w:szCs w:val="24"/>
        </w:rPr>
        <w:t xml:space="preserve"> </w:t>
      </w:r>
      <w:r w:rsidRPr="00964541">
        <w:rPr>
          <w:rFonts w:asciiTheme="minorHAnsi" w:hAnsiTheme="minorHAnsi" w:cstheme="minorHAnsi"/>
          <w:sz w:val="24"/>
          <w:szCs w:val="24"/>
        </w:rPr>
        <w:t xml:space="preserve">sociais, superior à média das regiões (R$ 1.479,03). O restante, são aquelas cujo montante </w:t>
      </w:r>
      <w:r w:rsidRPr="00964541">
        <w:rPr>
          <w:rFonts w:asciiTheme="minorHAnsi" w:hAnsiTheme="minorHAnsi" w:cstheme="minorHAnsi"/>
          <w:i/>
          <w:sz w:val="24"/>
          <w:szCs w:val="24"/>
        </w:rPr>
        <w:t xml:space="preserve">per capita </w:t>
      </w:r>
      <w:r w:rsidRPr="00964541">
        <w:rPr>
          <w:rFonts w:asciiTheme="minorHAnsi" w:hAnsiTheme="minorHAnsi" w:cstheme="minorHAnsi"/>
          <w:sz w:val="24"/>
          <w:szCs w:val="24"/>
        </w:rPr>
        <w:t xml:space="preserve">esteve entre o mínimo (R$ 1.094,36 – Região Intermediária de Pouso Alegre) e a média. </w:t>
      </w:r>
    </w:p>
    <w:p w14:paraId="000000FE" w14:textId="77777777" w:rsidR="00AB5176" w:rsidRPr="00964541" w:rsidRDefault="000D46B7" w:rsidP="00964541">
      <w:pPr>
        <w:spacing w:before="100" w:beforeAutospacing="1" w:after="100" w:afterAutospacing="1" w:line="360" w:lineRule="auto"/>
        <w:ind w:firstLine="709"/>
        <w:jc w:val="both"/>
        <w:rPr>
          <w:rFonts w:asciiTheme="minorHAnsi" w:hAnsiTheme="minorHAnsi" w:cstheme="minorHAnsi"/>
          <w:sz w:val="24"/>
          <w:szCs w:val="24"/>
        </w:rPr>
      </w:pPr>
      <w:r w:rsidRPr="00964541">
        <w:rPr>
          <w:rFonts w:asciiTheme="minorHAnsi" w:hAnsiTheme="minorHAnsi" w:cstheme="minorHAnsi"/>
          <w:sz w:val="24"/>
          <w:szCs w:val="24"/>
        </w:rPr>
        <w:lastRenderedPageBreak/>
        <w:t xml:space="preserve">De forma semelhante, as regiões mais escuras no mapa 5 são aquelas cujo valor per capita executado dos programas sociais estiveram acima de média (R$ 138,09). Estas são praticamente as mesmas indicadas no mapa 4, com acréscimo da Região Geográfica Intermediárias de Barbacena (a região de Divinópolis, apesar de não ter ultrapassado o valor da média, ficou bem próxima a ela, o que explica a coloração também escura). As demais localidades, em verde claro, são as que ficaram entre o valor mínimo (106,19 – Região Intermediária de Uberaba) e a média. </w:t>
      </w:r>
    </w:p>
    <w:p w14:paraId="000000FF" w14:textId="77777777" w:rsidR="00AB5176" w:rsidRPr="00964541" w:rsidRDefault="00AB5176" w:rsidP="00964541">
      <w:pPr>
        <w:spacing w:before="100" w:beforeAutospacing="1" w:after="100" w:afterAutospacing="1" w:line="360" w:lineRule="auto"/>
        <w:ind w:right="-83"/>
        <w:jc w:val="center"/>
        <w:rPr>
          <w:rFonts w:asciiTheme="minorHAnsi" w:hAnsiTheme="minorHAnsi" w:cstheme="minorHAnsi"/>
          <w:sz w:val="24"/>
          <w:szCs w:val="24"/>
        </w:rPr>
      </w:pPr>
    </w:p>
    <w:sectPr w:rsidR="00AB5176" w:rsidRPr="00964541">
      <w:type w:val="continuous"/>
      <w:pgSz w:w="11906" w:h="16838"/>
      <w:pgMar w:top="1417" w:right="1701" w:bottom="1417" w:left="1701" w:header="709" w:footer="708" w:gutter="0"/>
      <w:cols w:space="720" w:equalWidth="0">
        <w:col w:w="850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ACE1" w14:textId="77777777" w:rsidR="004B19A2" w:rsidRDefault="000D46B7">
      <w:pPr>
        <w:spacing w:after="0" w:line="240" w:lineRule="auto"/>
      </w:pPr>
      <w:r>
        <w:separator/>
      </w:r>
    </w:p>
  </w:endnote>
  <w:endnote w:type="continuationSeparator" w:id="0">
    <w:p w14:paraId="29D53572" w14:textId="77777777" w:rsidR="004B19A2" w:rsidRDefault="000D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ook">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6" w14:textId="055340BD" w:rsidR="00AB5176" w:rsidRDefault="000D46B7">
    <w:pPr>
      <w:jc w:val="right"/>
    </w:pPr>
    <w:r>
      <w:fldChar w:fldCharType="begin"/>
    </w:r>
    <w:r>
      <w:instrText>PAGE</w:instrText>
    </w:r>
    <w:r>
      <w:fldChar w:fldCharType="separate"/>
    </w:r>
    <w:r w:rsidR="00A352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786B" w14:textId="77777777" w:rsidR="004B19A2" w:rsidRDefault="000D46B7">
      <w:pPr>
        <w:spacing w:after="0" w:line="240" w:lineRule="auto"/>
      </w:pPr>
      <w:r>
        <w:separator/>
      </w:r>
    </w:p>
  </w:footnote>
  <w:footnote w:type="continuationSeparator" w:id="0">
    <w:p w14:paraId="02BBB0B7" w14:textId="77777777" w:rsidR="004B19A2" w:rsidRDefault="000D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0" w14:textId="77777777" w:rsidR="00AB5176" w:rsidRDefault="000D46B7">
    <w:pPr>
      <w:pBdr>
        <w:top w:val="nil"/>
        <w:left w:val="nil"/>
        <w:bottom w:val="nil"/>
        <w:right w:val="nil"/>
        <w:between w:val="nil"/>
      </w:pBdr>
      <w:tabs>
        <w:tab w:val="center" w:pos="4252"/>
        <w:tab w:val="right" w:pos="8504"/>
      </w:tabs>
      <w:spacing w:after="0"/>
      <w:ind w:left="1134"/>
      <w:jc w:val="both"/>
      <w:rPr>
        <w:rFonts w:ascii="Arial" w:eastAsia="Arial" w:hAnsi="Arial" w:cs="Arial"/>
        <w:color w:val="808080"/>
        <w:sz w:val="16"/>
        <w:szCs w:val="16"/>
      </w:rPr>
    </w:pPr>
    <w:r>
      <w:rPr>
        <w:rFonts w:ascii="Arial" w:eastAsia="Arial" w:hAnsi="Arial" w:cs="Arial"/>
        <w:color w:val="808080"/>
        <w:sz w:val="16"/>
        <w:szCs w:val="16"/>
      </w:rPr>
      <w:t>Governo do Estado de Minas Gerais</w:t>
    </w:r>
    <w:r>
      <w:rPr>
        <w:noProof/>
      </w:rPr>
      <w:drawing>
        <wp:anchor distT="0" distB="0" distL="0" distR="0" simplePos="0" relativeHeight="251658240" behindDoc="0" locked="0" layoutInCell="1" hidden="0" allowOverlap="1">
          <wp:simplePos x="0" y="0"/>
          <wp:positionH relativeFrom="column">
            <wp:posOffset>-32384</wp:posOffset>
          </wp:positionH>
          <wp:positionV relativeFrom="paragraph">
            <wp:posOffset>-69214</wp:posOffset>
          </wp:positionV>
          <wp:extent cx="687070" cy="692785"/>
          <wp:effectExtent l="0" t="0" r="0" b="0"/>
          <wp:wrapSquare wrapText="bothSides" distT="0" distB="0" distL="0" distR="0"/>
          <wp:docPr id="24" name="image4.png" descr="WINDOWS"/>
          <wp:cNvGraphicFramePr/>
          <a:graphic xmlns:a="http://schemas.openxmlformats.org/drawingml/2006/main">
            <a:graphicData uri="http://schemas.openxmlformats.org/drawingml/2006/picture">
              <pic:pic xmlns:pic="http://schemas.openxmlformats.org/drawingml/2006/picture">
                <pic:nvPicPr>
                  <pic:cNvPr id="0" name="image4.png" descr="WINDOWS"/>
                  <pic:cNvPicPr preferRelativeResize="0"/>
                </pic:nvPicPr>
                <pic:blipFill>
                  <a:blip r:embed="rId1"/>
                  <a:srcRect/>
                  <a:stretch>
                    <a:fillRect/>
                  </a:stretch>
                </pic:blipFill>
                <pic:spPr>
                  <a:xfrm>
                    <a:off x="0" y="0"/>
                    <a:ext cx="687070" cy="692785"/>
                  </a:xfrm>
                  <a:prstGeom prst="rect">
                    <a:avLst/>
                  </a:prstGeom>
                  <a:ln/>
                </pic:spPr>
              </pic:pic>
            </a:graphicData>
          </a:graphic>
        </wp:anchor>
      </w:drawing>
    </w:r>
  </w:p>
  <w:p w14:paraId="00000101" w14:textId="77777777" w:rsidR="00AB5176" w:rsidRDefault="000D46B7">
    <w:pPr>
      <w:pBdr>
        <w:top w:val="nil"/>
        <w:left w:val="nil"/>
        <w:bottom w:val="nil"/>
        <w:right w:val="nil"/>
        <w:between w:val="nil"/>
      </w:pBdr>
      <w:tabs>
        <w:tab w:val="center" w:pos="4252"/>
        <w:tab w:val="right" w:pos="8504"/>
      </w:tabs>
      <w:spacing w:after="0"/>
      <w:ind w:left="1134"/>
      <w:jc w:val="both"/>
      <w:rPr>
        <w:rFonts w:ascii="Arial" w:eastAsia="Arial" w:hAnsi="Arial" w:cs="Arial"/>
        <w:color w:val="808080"/>
        <w:sz w:val="16"/>
        <w:szCs w:val="16"/>
      </w:rPr>
    </w:pPr>
    <w:r>
      <w:rPr>
        <w:rFonts w:ascii="Arial" w:eastAsia="Arial" w:hAnsi="Arial" w:cs="Arial"/>
        <w:color w:val="808080"/>
        <w:sz w:val="16"/>
        <w:szCs w:val="16"/>
      </w:rPr>
      <w:t>Secretaria de Estado de Planejamento e Gestão</w:t>
    </w:r>
  </w:p>
  <w:p w14:paraId="00000102" w14:textId="77777777" w:rsidR="00AB5176" w:rsidRDefault="000D46B7">
    <w:pPr>
      <w:pBdr>
        <w:top w:val="nil"/>
        <w:left w:val="nil"/>
        <w:bottom w:val="nil"/>
        <w:right w:val="nil"/>
        <w:between w:val="nil"/>
      </w:pBdr>
      <w:tabs>
        <w:tab w:val="center" w:pos="4252"/>
        <w:tab w:val="right" w:pos="8504"/>
      </w:tabs>
      <w:spacing w:after="0"/>
      <w:ind w:left="1134"/>
      <w:jc w:val="both"/>
      <w:rPr>
        <w:rFonts w:ascii="Arial" w:eastAsia="Arial" w:hAnsi="Arial" w:cs="Arial"/>
        <w:color w:val="808080"/>
        <w:sz w:val="16"/>
        <w:szCs w:val="16"/>
      </w:rPr>
    </w:pPr>
    <w:r>
      <w:rPr>
        <w:rFonts w:ascii="Arial" w:eastAsia="Arial" w:hAnsi="Arial" w:cs="Arial"/>
        <w:color w:val="808080"/>
        <w:sz w:val="16"/>
        <w:szCs w:val="16"/>
      </w:rPr>
      <w:t>Subsecretaria de Planejamento e Orçamento</w:t>
    </w:r>
  </w:p>
  <w:p w14:paraId="00000103" w14:textId="77777777" w:rsidR="00AB5176" w:rsidRDefault="000D46B7">
    <w:pPr>
      <w:pBdr>
        <w:top w:val="nil"/>
        <w:left w:val="nil"/>
        <w:bottom w:val="nil"/>
        <w:right w:val="nil"/>
        <w:between w:val="nil"/>
      </w:pBdr>
      <w:tabs>
        <w:tab w:val="center" w:pos="4252"/>
        <w:tab w:val="right" w:pos="8504"/>
      </w:tabs>
      <w:spacing w:after="0"/>
      <w:ind w:left="1134"/>
      <w:jc w:val="both"/>
      <w:rPr>
        <w:rFonts w:ascii="Arial" w:eastAsia="Arial" w:hAnsi="Arial" w:cs="Arial"/>
        <w:color w:val="808080"/>
        <w:sz w:val="16"/>
        <w:szCs w:val="16"/>
      </w:rPr>
    </w:pPr>
    <w:r>
      <w:rPr>
        <w:rFonts w:ascii="Arial" w:eastAsia="Arial" w:hAnsi="Arial" w:cs="Arial"/>
        <w:color w:val="808080"/>
        <w:sz w:val="16"/>
        <w:szCs w:val="16"/>
      </w:rPr>
      <w:t>Superintendência Central de Planejamento e Orçamento</w:t>
    </w:r>
  </w:p>
  <w:p w14:paraId="00000104" w14:textId="77777777" w:rsidR="00AB5176" w:rsidRDefault="00AB517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67A6"/>
    <w:multiLevelType w:val="multilevel"/>
    <w:tmpl w:val="496408E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8F1120B"/>
    <w:multiLevelType w:val="multilevel"/>
    <w:tmpl w:val="F3F47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C8747C"/>
    <w:multiLevelType w:val="multilevel"/>
    <w:tmpl w:val="F3F47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B33B5E"/>
    <w:multiLevelType w:val="multilevel"/>
    <w:tmpl w:val="78582224"/>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4" w15:restartNumberingAfterBreak="0">
    <w:nsid w:val="34276849"/>
    <w:multiLevelType w:val="multilevel"/>
    <w:tmpl w:val="2A30E63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F222F45"/>
    <w:multiLevelType w:val="hybridMultilevel"/>
    <w:tmpl w:val="563EF59C"/>
    <w:lvl w:ilvl="0" w:tplc="04160009">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6" w15:restartNumberingAfterBreak="0">
    <w:nsid w:val="46F56467"/>
    <w:multiLevelType w:val="multilevel"/>
    <w:tmpl w:val="18A27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C815C1"/>
    <w:multiLevelType w:val="hybridMultilevel"/>
    <w:tmpl w:val="725A6BF4"/>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6D051D88"/>
    <w:multiLevelType w:val="hybridMultilevel"/>
    <w:tmpl w:val="2C041A6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78C731F8"/>
    <w:multiLevelType w:val="multilevel"/>
    <w:tmpl w:val="5100ECE8"/>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4"/>
  </w:num>
  <w:num w:numId="3">
    <w:abstractNumId w:val="3"/>
  </w:num>
  <w:num w:numId="4">
    <w:abstractNumId w:val="2"/>
  </w:num>
  <w:num w:numId="5">
    <w:abstractNumId w:val="6"/>
  </w:num>
  <w:num w:numId="6">
    <w:abstractNumId w:val="9"/>
  </w:num>
  <w:num w:numId="7">
    <w:abstractNumId w:val="5"/>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76"/>
    <w:rsid w:val="000D46B7"/>
    <w:rsid w:val="004B19A2"/>
    <w:rsid w:val="006908B1"/>
    <w:rsid w:val="007864F3"/>
    <w:rsid w:val="00964541"/>
    <w:rsid w:val="00973529"/>
    <w:rsid w:val="00A3524F"/>
    <w:rsid w:val="00A918ED"/>
    <w:rsid w:val="00AB5176"/>
    <w:rsid w:val="00B533D6"/>
    <w:rsid w:val="00BF31F0"/>
    <w:rsid w:val="00F13C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FCDB"/>
  <w15:docId w15:val="{5B6979DF-36B9-4A3A-913B-67BBE002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2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har"/>
    <w:uiPriority w:val="9"/>
    <w:qFormat/>
    <w:rsid w:val="00AA00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balo">
    <w:name w:val="Balloon Text"/>
    <w:basedOn w:val="Normal"/>
    <w:link w:val="TextodebaloChar"/>
    <w:uiPriority w:val="99"/>
    <w:semiHidden/>
    <w:unhideWhenUsed/>
    <w:rsid w:val="005A40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4027"/>
    <w:rPr>
      <w:rFonts w:ascii="Tahoma" w:hAnsi="Tahoma" w:cs="Tahoma"/>
      <w:sz w:val="16"/>
      <w:szCs w:val="16"/>
    </w:rPr>
  </w:style>
  <w:style w:type="paragraph" w:styleId="Rodap">
    <w:name w:val="footer"/>
    <w:basedOn w:val="Normal"/>
    <w:link w:val="RodapChar"/>
    <w:uiPriority w:val="99"/>
    <w:rsid w:val="000F619B"/>
    <w:pPr>
      <w:tabs>
        <w:tab w:val="center" w:pos="4419"/>
        <w:tab w:val="right" w:pos="8838"/>
      </w:tabs>
      <w:spacing w:before="120" w:after="0" w:line="240" w:lineRule="auto"/>
      <w:jc w:val="both"/>
    </w:pPr>
    <w:rPr>
      <w:rFonts w:ascii="Times New Roman" w:eastAsia="Times New Roman" w:hAnsi="Times New Roman" w:cs="Times New Roman"/>
      <w:szCs w:val="20"/>
    </w:rPr>
  </w:style>
  <w:style w:type="character" w:customStyle="1" w:styleId="RodapChar">
    <w:name w:val="Rodapé Char"/>
    <w:basedOn w:val="Fontepargpadro"/>
    <w:link w:val="Rodap"/>
    <w:uiPriority w:val="99"/>
    <w:rsid w:val="000F619B"/>
    <w:rPr>
      <w:rFonts w:ascii="Times New Roman" w:eastAsia="Times New Roman" w:hAnsi="Times New Roman" w:cs="Times New Roman"/>
      <w:szCs w:val="20"/>
      <w:lang w:eastAsia="pt-BR"/>
    </w:rPr>
  </w:style>
  <w:style w:type="paragraph" w:customStyle="1" w:styleId="Pa3">
    <w:name w:val="Pa3"/>
    <w:basedOn w:val="Normal"/>
    <w:next w:val="Normal"/>
    <w:rsid w:val="00976F7D"/>
    <w:pPr>
      <w:autoSpaceDE w:val="0"/>
      <w:autoSpaceDN w:val="0"/>
      <w:adjustRightInd w:val="0"/>
      <w:spacing w:after="0" w:line="241" w:lineRule="atLeast"/>
    </w:pPr>
    <w:rPr>
      <w:rFonts w:ascii="Bodoni Book" w:eastAsia="Times New Roman" w:hAnsi="Bodoni Book" w:cs="Times New Roman"/>
      <w:sz w:val="24"/>
      <w:szCs w:val="24"/>
    </w:rPr>
  </w:style>
  <w:style w:type="paragraph" w:styleId="Cabealho">
    <w:name w:val="header"/>
    <w:basedOn w:val="Normal"/>
    <w:link w:val="CabealhoChar"/>
    <w:unhideWhenUsed/>
    <w:rsid w:val="008A438D"/>
    <w:pPr>
      <w:tabs>
        <w:tab w:val="center" w:pos="4252"/>
        <w:tab w:val="right" w:pos="8504"/>
      </w:tabs>
      <w:spacing w:after="0" w:line="240" w:lineRule="auto"/>
    </w:pPr>
  </w:style>
  <w:style w:type="character" w:customStyle="1" w:styleId="CabealhoChar">
    <w:name w:val="Cabeçalho Char"/>
    <w:basedOn w:val="Fontepargpadro"/>
    <w:link w:val="Cabealho"/>
    <w:rsid w:val="008A438D"/>
  </w:style>
  <w:style w:type="paragraph" w:styleId="Textodenotaderodap">
    <w:name w:val="footnote text"/>
    <w:basedOn w:val="Normal"/>
    <w:link w:val="TextodenotaderodapChar"/>
    <w:uiPriority w:val="99"/>
    <w:semiHidden/>
    <w:unhideWhenUsed/>
    <w:rsid w:val="003D37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D37F6"/>
    <w:rPr>
      <w:sz w:val="20"/>
      <w:szCs w:val="20"/>
    </w:rPr>
  </w:style>
  <w:style w:type="character" w:styleId="Refdenotaderodap">
    <w:name w:val="footnote reference"/>
    <w:basedOn w:val="Fontepargpadro"/>
    <w:uiPriority w:val="99"/>
    <w:semiHidden/>
    <w:unhideWhenUsed/>
    <w:rsid w:val="003D37F6"/>
    <w:rPr>
      <w:vertAlign w:val="superscript"/>
    </w:rPr>
  </w:style>
  <w:style w:type="character" w:styleId="Hyperlink">
    <w:name w:val="Hyperlink"/>
    <w:basedOn w:val="Fontepargpadro"/>
    <w:uiPriority w:val="99"/>
    <w:unhideWhenUsed/>
    <w:rsid w:val="00C56BB6"/>
    <w:rPr>
      <w:color w:val="0000FF" w:themeColor="hyperlink"/>
      <w:u w:val="single"/>
    </w:rPr>
  </w:style>
  <w:style w:type="character" w:styleId="Refdecomentrio">
    <w:name w:val="annotation reference"/>
    <w:basedOn w:val="Fontepargpadro"/>
    <w:uiPriority w:val="99"/>
    <w:semiHidden/>
    <w:unhideWhenUsed/>
    <w:rsid w:val="00BE1AC0"/>
    <w:rPr>
      <w:sz w:val="16"/>
      <w:szCs w:val="16"/>
    </w:rPr>
  </w:style>
  <w:style w:type="paragraph" w:styleId="Textodecomentrio">
    <w:name w:val="annotation text"/>
    <w:basedOn w:val="Normal"/>
    <w:link w:val="TextodecomentrioChar"/>
    <w:uiPriority w:val="99"/>
    <w:unhideWhenUsed/>
    <w:rsid w:val="00BE1AC0"/>
    <w:pPr>
      <w:spacing w:line="240" w:lineRule="auto"/>
    </w:pPr>
    <w:rPr>
      <w:sz w:val="20"/>
      <w:szCs w:val="20"/>
    </w:rPr>
  </w:style>
  <w:style w:type="character" w:customStyle="1" w:styleId="TextodecomentrioChar">
    <w:name w:val="Texto de comentário Char"/>
    <w:basedOn w:val="Fontepargpadro"/>
    <w:link w:val="Textodecomentrio"/>
    <w:uiPriority w:val="99"/>
    <w:rsid w:val="00BE1AC0"/>
    <w:rPr>
      <w:sz w:val="20"/>
      <w:szCs w:val="20"/>
    </w:rPr>
  </w:style>
  <w:style w:type="paragraph" w:styleId="Assuntodocomentrio">
    <w:name w:val="annotation subject"/>
    <w:basedOn w:val="Textodecomentrio"/>
    <w:next w:val="Textodecomentrio"/>
    <w:link w:val="AssuntodocomentrioChar"/>
    <w:uiPriority w:val="99"/>
    <w:semiHidden/>
    <w:unhideWhenUsed/>
    <w:rsid w:val="00BE1AC0"/>
    <w:rPr>
      <w:b/>
      <w:bCs/>
    </w:rPr>
  </w:style>
  <w:style w:type="character" w:customStyle="1" w:styleId="AssuntodocomentrioChar">
    <w:name w:val="Assunto do comentário Char"/>
    <w:basedOn w:val="TextodecomentrioChar"/>
    <w:link w:val="Assuntodocomentrio"/>
    <w:uiPriority w:val="99"/>
    <w:semiHidden/>
    <w:rsid w:val="00BE1AC0"/>
    <w:rPr>
      <w:b/>
      <w:bCs/>
      <w:sz w:val="20"/>
      <w:szCs w:val="20"/>
    </w:rPr>
  </w:style>
  <w:style w:type="paragraph" w:styleId="NormalWeb">
    <w:name w:val="Normal (Web)"/>
    <w:basedOn w:val="Normal"/>
    <w:uiPriority w:val="99"/>
    <w:rsid w:val="005B40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argrafodaLista">
    <w:name w:val="List Paragraph"/>
    <w:basedOn w:val="Normal"/>
    <w:link w:val="PargrafodaListaChar"/>
    <w:uiPriority w:val="34"/>
    <w:qFormat/>
    <w:rsid w:val="0072303A"/>
    <w:pPr>
      <w:ind w:left="720"/>
      <w:contextualSpacing/>
    </w:pPr>
  </w:style>
  <w:style w:type="paragraph" w:customStyle="1" w:styleId="Corpodetextodemonstrativo">
    <w:name w:val="Corpo de texto demonstrativo"/>
    <w:basedOn w:val="Cabealho"/>
    <w:rsid w:val="00117F1F"/>
    <w:pPr>
      <w:tabs>
        <w:tab w:val="clear" w:pos="4252"/>
        <w:tab w:val="clear" w:pos="8504"/>
      </w:tabs>
      <w:spacing w:after="100" w:afterAutospacing="1" w:line="360" w:lineRule="auto"/>
      <w:jc w:val="center"/>
    </w:pPr>
    <w:rPr>
      <w:rFonts w:ascii="Century Gothic" w:eastAsia="Times New Roman" w:hAnsi="Century Gothic" w:cs="Times New Roman"/>
      <w:sz w:val="20"/>
      <w:szCs w:val="20"/>
    </w:rPr>
  </w:style>
  <w:style w:type="paragraph" w:styleId="Corpodetexto">
    <w:name w:val="Body Text"/>
    <w:basedOn w:val="Normal"/>
    <w:link w:val="CorpodetextoChar"/>
    <w:uiPriority w:val="99"/>
    <w:semiHidden/>
    <w:unhideWhenUsed/>
    <w:rsid w:val="00117F1F"/>
    <w:pPr>
      <w:spacing w:after="120"/>
    </w:pPr>
  </w:style>
  <w:style w:type="character" w:customStyle="1" w:styleId="CorpodetextoChar">
    <w:name w:val="Corpo de texto Char"/>
    <w:basedOn w:val="Fontepargpadro"/>
    <w:link w:val="Corpodetexto"/>
    <w:uiPriority w:val="99"/>
    <w:semiHidden/>
    <w:rsid w:val="00117F1F"/>
  </w:style>
  <w:style w:type="paragraph" w:styleId="Reviso">
    <w:name w:val="Revision"/>
    <w:hidden/>
    <w:uiPriority w:val="99"/>
    <w:semiHidden/>
    <w:rsid w:val="00517CE5"/>
    <w:pPr>
      <w:spacing w:after="0" w:line="240" w:lineRule="auto"/>
    </w:pPr>
  </w:style>
  <w:style w:type="paragraph" w:customStyle="1" w:styleId="western">
    <w:name w:val="western"/>
    <w:basedOn w:val="Normal"/>
    <w:rsid w:val="00AE5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AE5588"/>
  </w:style>
  <w:style w:type="character" w:customStyle="1" w:styleId="PargrafodaListaChar">
    <w:name w:val="Parágrafo da Lista Char"/>
    <w:basedOn w:val="Fontepargpadro"/>
    <w:link w:val="PargrafodaLista"/>
    <w:uiPriority w:val="34"/>
    <w:rsid w:val="00CB1CC0"/>
  </w:style>
  <w:style w:type="character" w:customStyle="1" w:styleId="Ttulo4Char">
    <w:name w:val="Título 4 Char"/>
    <w:basedOn w:val="Fontepargpadro"/>
    <w:link w:val="Ttulo4"/>
    <w:uiPriority w:val="9"/>
    <w:rsid w:val="00AA00E3"/>
    <w:rPr>
      <w:rFonts w:ascii="Times New Roman" w:eastAsia="Times New Roman" w:hAnsi="Times New Roman" w:cs="Times New Roman"/>
      <w:b/>
      <w:bCs/>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fontstyle01">
    <w:name w:val="fontstyle01"/>
    <w:basedOn w:val="Fontepargpadro"/>
    <w:rsid w:val="00964541"/>
    <w:rPr>
      <w:rFonts w:ascii="Calibri" w:hAnsi="Calibri" w:cs="Calibri" w:hint="default"/>
      <w:b/>
      <w:bCs/>
      <w:i w:val="0"/>
      <w:iCs w:val="0"/>
      <w:color w:val="000000"/>
      <w:sz w:val="60"/>
      <w:szCs w:val="60"/>
    </w:rPr>
  </w:style>
  <w:style w:type="table" w:styleId="Tabelacomgrade">
    <w:name w:val="Table Grid"/>
    <w:basedOn w:val="Tabelanormal"/>
    <w:uiPriority w:val="39"/>
    <w:rsid w:val="0097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4">
    <w:name w:val="Plain Table 4"/>
    <w:basedOn w:val="Tabelanormal"/>
    <w:uiPriority w:val="44"/>
    <w:rsid w:val="006908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6908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3795">
      <w:bodyDiv w:val="1"/>
      <w:marLeft w:val="0"/>
      <w:marRight w:val="0"/>
      <w:marTop w:val="0"/>
      <w:marBottom w:val="0"/>
      <w:divBdr>
        <w:top w:val="none" w:sz="0" w:space="0" w:color="auto"/>
        <w:left w:val="none" w:sz="0" w:space="0" w:color="auto"/>
        <w:bottom w:val="none" w:sz="0" w:space="0" w:color="auto"/>
        <w:right w:val="none" w:sz="0" w:space="0" w:color="auto"/>
      </w:divBdr>
    </w:div>
    <w:div w:id="473717881">
      <w:bodyDiv w:val="1"/>
      <w:marLeft w:val="0"/>
      <w:marRight w:val="0"/>
      <w:marTop w:val="0"/>
      <w:marBottom w:val="0"/>
      <w:divBdr>
        <w:top w:val="none" w:sz="0" w:space="0" w:color="auto"/>
        <w:left w:val="none" w:sz="0" w:space="0" w:color="auto"/>
        <w:bottom w:val="none" w:sz="0" w:space="0" w:color="auto"/>
        <w:right w:val="none" w:sz="0" w:space="0" w:color="auto"/>
      </w:divBdr>
    </w:div>
    <w:div w:id="631908772">
      <w:bodyDiv w:val="1"/>
      <w:marLeft w:val="0"/>
      <w:marRight w:val="0"/>
      <w:marTop w:val="0"/>
      <w:marBottom w:val="0"/>
      <w:divBdr>
        <w:top w:val="none" w:sz="0" w:space="0" w:color="auto"/>
        <w:left w:val="none" w:sz="0" w:space="0" w:color="auto"/>
        <w:bottom w:val="none" w:sz="0" w:space="0" w:color="auto"/>
        <w:right w:val="none" w:sz="0" w:space="0" w:color="auto"/>
      </w:divBdr>
    </w:div>
    <w:div w:id="764351940">
      <w:bodyDiv w:val="1"/>
      <w:marLeft w:val="0"/>
      <w:marRight w:val="0"/>
      <w:marTop w:val="0"/>
      <w:marBottom w:val="0"/>
      <w:divBdr>
        <w:top w:val="none" w:sz="0" w:space="0" w:color="auto"/>
        <w:left w:val="none" w:sz="0" w:space="0" w:color="auto"/>
        <w:bottom w:val="none" w:sz="0" w:space="0" w:color="auto"/>
        <w:right w:val="none" w:sz="0" w:space="0" w:color="auto"/>
      </w:divBdr>
    </w:div>
    <w:div w:id="1382755489">
      <w:bodyDiv w:val="1"/>
      <w:marLeft w:val="0"/>
      <w:marRight w:val="0"/>
      <w:marTop w:val="0"/>
      <w:marBottom w:val="0"/>
      <w:divBdr>
        <w:top w:val="none" w:sz="0" w:space="0" w:color="auto"/>
        <w:left w:val="none" w:sz="0" w:space="0" w:color="auto"/>
        <w:bottom w:val="none" w:sz="0" w:space="0" w:color="auto"/>
        <w:right w:val="none" w:sz="0" w:space="0" w:color="auto"/>
      </w:divBdr>
    </w:div>
    <w:div w:id="1501776723">
      <w:bodyDiv w:val="1"/>
      <w:marLeft w:val="0"/>
      <w:marRight w:val="0"/>
      <w:marTop w:val="0"/>
      <w:marBottom w:val="0"/>
      <w:divBdr>
        <w:top w:val="none" w:sz="0" w:space="0" w:color="auto"/>
        <w:left w:val="none" w:sz="0" w:space="0" w:color="auto"/>
        <w:bottom w:val="none" w:sz="0" w:space="0" w:color="auto"/>
        <w:right w:val="none" w:sz="0" w:space="0" w:color="auto"/>
      </w:divBdr>
    </w:div>
    <w:div w:id="174144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WmOoHCwXqiKXmSTH3K8JC5sQg==">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3840</Words>
  <Characters>20741</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m1084277</dc:creator>
  <cp:lastModifiedBy>Sarah Cristina de Sales Mourão (SEPLAG)</cp:lastModifiedBy>
  <cp:revision>2</cp:revision>
  <dcterms:created xsi:type="dcterms:W3CDTF">2020-08-31T20:59:00Z</dcterms:created>
  <dcterms:modified xsi:type="dcterms:W3CDTF">2020-08-31T20:59:00Z</dcterms:modified>
</cp:coreProperties>
</file>