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35" w:rsidRPr="00667835" w:rsidRDefault="00667835" w:rsidP="00667835">
      <w:pPr>
        <w:spacing w:after="0" w:line="240" w:lineRule="auto"/>
        <w:jc w:val="both"/>
        <w:rPr>
          <w:rFonts w:ascii="Arial" w:eastAsia="Times New Roman" w:hAnsi="Arial" w:cs="Arial"/>
          <w:sz w:val="24"/>
          <w:szCs w:val="24"/>
          <w:bdr w:val="none" w:sz="0" w:space="0" w:color="auto" w:frame="1"/>
          <w:lang w:eastAsia="pt-BR"/>
        </w:rPr>
      </w:pPr>
      <w:r w:rsidRPr="00667835">
        <w:rPr>
          <w:rFonts w:ascii="Arial" w:eastAsia="Times New Roman" w:hAnsi="Arial" w:cs="Arial"/>
          <w:sz w:val="24"/>
          <w:szCs w:val="24"/>
          <w:bdr w:val="none" w:sz="0" w:space="0" w:color="auto" w:frame="1"/>
          <w:lang w:eastAsia="pt-BR"/>
        </w:rPr>
        <w:t>Decreto nº</w:t>
      </w:r>
      <w:r w:rsidRPr="00667835">
        <w:rPr>
          <w:rFonts w:ascii="Arial" w:eastAsia="Times New Roman" w:hAnsi="Arial" w:cs="Arial"/>
          <w:sz w:val="24"/>
          <w:szCs w:val="24"/>
          <w:bdr w:val="none" w:sz="0" w:space="0" w:color="auto" w:frame="1"/>
          <w:lang w:eastAsia="pt-BR"/>
        </w:rPr>
        <w:t xml:space="preserve"> 47</w:t>
      </w:r>
      <w:r w:rsidRPr="00667835">
        <w:rPr>
          <w:rFonts w:ascii="Arial" w:eastAsia="Times New Roman" w:hAnsi="Arial" w:cs="Arial"/>
          <w:sz w:val="24"/>
          <w:szCs w:val="24"/>
          <w:bdr w:val="none" w:sz="0" w:space="0" w:color="auto" w:frame="1"/>
          <w:lang w:eastAsia="pt-BR"/>
        </w:rPr>
        <w:t>.</w:t>
      </w:r>
      <w:r>
        <w:rPr>
          <w:rFonts w:ascii="Arial" w:eastAsia="Times New Roman" w:hAnsi="Arial" w:cs="Arial"/>
          <w:sz w:val="24"/>
          <w:szCs w:val="24"/>
          <w:bdr w:val="none" w:sz="0" w:space="0" w:color="auto" w:frame="1"/>
          <w:lang w:eastAsia="pt-BR"/>
        </w:rPr>
        <w:t>371, de</w:t>
      </w:r>
      <w:r w:rsidRPr="00667835">
        <w:rPr>
          <w:rFonts w:ascii="Arial" w:eastAsia="Times New Roman" w:hAnsi="Arial" w:cs="Arial"/>
          <w:sz w:val="24"/>
          <w:szCs w:val="24"/>
          <w:bdr w:val="none" w:sz="0" w:space="0" w:color="auto" w:frame="1"/>
          <w:lang w:eastAsia="pt-BR"/>
        </w:rPr>
        <w:t xml:space="preserve"> </w:t>
      </w:r>
      <w:proofErr w:type="gramStart"/>
      <w:r w:rsidRPr="00667835">
        <w:rPr>
          <w:rFonts w:ascii="Arial" w:eastAsia="Times New Roman" w:hAnsi="Arial" w:cs="Arial"/>
          <w:sz w:val="24"/>
          <w:szCs w:val="24"/>
          <w:bdr w:val="none" w:sz="0" w:space="0" w:color="auto" w:frame="1"/>
          <w:lang w:eastAsia="pt-BR"/>
        </w:rPr>
        <w:t>09/02/2018</w:t>
      </w:r>
      <w:proofErr w:type="gramEnd"/>
    </w:p>
    <w:p w:rsidR="00667835" w:rsidRDefault="00667835" w:rsidP="00667835">
      <w:pPr>
        <w:pStyle w:val="Ttulo3"/>
        <w:spacing w:before="225" w:beforeAutospacing="0" w:after="0" w:afterAutospacing="0"/>
        <w:jc w:val="both"/>
        <w:rPr>
          <w:rFonts w:ascii="Arial" w:hAnsi="Arial" w:cs="Arial"/>
          <w:caps/>
          <w:sz w:val="18"/>
          <w:szCs w:val="18"/>
        </w:rPr>
      </w:pPr>
    </w:p>
    <w:p w:rsidR="00667835" w:rsidRPr="00667835" w:rsidRDefault="00667835" w:rsidP="00667835">
      <w:pPr>
        <w:pStyle w:val="Ttulo3"/>
        <w:spacing w:before="225" w:beforeAutospacing="0" w:after="0" w:afterAutospacing="0"/>
        <w:jc w:val="both"/>
        <w:rPr>
          <w:rFonts w:ascii="Arial" w:hAnsi="Arial" w:cs="Arial"/>
          <w:caps/>
          <w:vanish/>
          <w:sz w:val="18"/>
          <w:szCs w:val="18"/>
        </w:rPr>
      </w:pPr>
      <w:r w:rsidRPr="00667835">
        <w:rPr>
          <w:rFonts w:ascii="Arial" w:hAnsi="Arial" w:cs="Arial"/>
          <w:caps/>
          <w:vanish/>
          <w:sz w:val="18"/>
          <w:szCs w:val="18"/>
        </w:rPr>
        <w:t>DECRETO 47371, DE 09/02/2018 - TEXTO ORIGINAL</w:t>
      </w:r>
    </w:p>
    <w:p w:rsidR="00667835" w:rsidRPr="00667835" w:rsidRDefault="00667835" w:rsidP="00667835">
      <w:pPr>
        <w:spacing w:before="225" w:after="0" w:line="240" w:lineRule="auto"/>
        <w:jc w:val="both"/>
        <w:outlineLvl w:val="2"/>
        <w:rPr>
          <w:rFonts w:ascii="Arial" w:eastAsia="Times New Roman" w:hAnsi="Arial" w:cs="Arial"/>
          <w:b/>
          <w:bCs/>
          <w:caps/>
          <w:vanish/>
          <w:sz w:val="18"/>
          <w:szCs w:val="18"/>
          <w:lang w:eastAsia="pt-BR"/>
        </w:rPr>
      </w:pPr>
      <w:r w:rsidRPr="00667835">
        <w:rPr>
          <w:rFonts w:ascii="Arial" w:eastAsia="Times New Roman" w:hAnsi="Arial" w:cs="Arial"/>
          <w:b/>
          <w:bCs/>
          <w:caps/>
          <w:vanish/>
          <w:sz w:val="18"/>
          <w:szCs w:val="18"/>
          <w:lang w:eastAsia="pt-BR"/>
        </w:rPr>
        <w:t>DECRETO 47371, DE 09/02/2018 - TEXTO ORIGINAL</w:t>
      </w:r>
    </w:p>
    <w:p w:rsidR="00667835" w:rsidRDefault="00667835" w:rsidP="00667835">
      <w:pPr>
        <w:spacing w:after="0" w:line="240" w:lineRule="auto"/>
        <w:ind w:left="4321"/>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sz w:val="24"/>
          <w:szCs w:val="24"/>
          <w:bdr w:val="none" w:sz="0" w:space="0" w:color="auto" w:frame="1"/>
          <w:lang w:eastAsia="pt-BR"/>
        </w:rPr>
        <w:t xml:space="preserve">Dispõe sobre a programação </w:t>
      </w:r>
      <w:r w:rsidRPr="00667835">
        <w:rPr>
          <w:rFonts w:ascii="Arial" w:eastAsia="Times New Roman" w:hAnsi="Arial" w:cs="Arial"/>
          <w:color w:val="000000"/>
          <w:sz w:val="24"/>
          <w:szCs w:val="24"/>
          <w:bdr w:val="none" w:sz="0" w:space="0" w:color="auto" w:frame="1"/>
          <w:lang w:eastAsia="pt-BR"/>
        </w:rPr>
        <w:t>orçamentária e financeira do Estado de Minas Gerais para o exercício de 2018 e dá outras providências.</w:t>
      </w:r>
    </w:p>
    <w:p w:rsidR="00643565" w:rsidRDefault="00643565" w:rsidP="00667835">
      <w:pPr>
        <w:spacing w:after="0" w:line="240" w:lineRule="auto"/>
        <w:ind w:left="4321"/>
        <w:jc w:val="both"/>
        <w:rPr>
          <w:rFonts w:ascii="Arial" w:eastAsia="Times New Roman" w:hAnsi="Arial" w:cs="Arial"/>
          <w:color w:val="000000"/>
          <w:sz w:val="24"/>
          <w:szCs w:val="24"/>
          <w:bdr w:val="none" w:sz="0" w:space="0" w:color="auto" w:frame="1"/>
          <w:lang w:eastAsia="pt-BR"/>
        </w:rPr>
      </w:pPr>
    </w:p>
    <w:p w:rsidR="00667835" w:rsidRPr="00667835" w:rsidRDefault="00667835" w:rsidP="00667835">
      <w:pPr>
        <w:spacing w:after="0" w:line="240" w:lineRule="auto"/>
        <w:ind w:left="4321"/>
        <w:jc w:val="both"/>
        <w:rPr>
          <w:rFonts w:ascii="Arial" w:eastAsia="Times New Roman" w:hAnsi="Arial" w:cs="Arial"/>
          <w:color w:val="000000"/>
          <w:sz w:val="18"/>
          <w:szCs w:val="18"/>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b/>
          <w:bCs/>
          <w:caps/>
          <w:color w:val="000000"/>
          <w:sz w:val="24"/>
          <w:szCs w:val="24"/>
          <w:bdr w:val="none" w:sz="0" w:space="0" w:color="auto" w:frame="1"/>
          <w:lang w:eastAsia="pt-BR"/>
        </w:rPr>
        <w:t>O GOVERNADOR DO ESTADO DE MINAS GERAIS</w:t>
      </w:r>
      <w:r w:rsidRPr="00667835">
        <w:rPr>
          <w:rFonts w:ascii="Arial" w:eastAsia="Times New Roman" w:hAnsi="Arial" w:cs="Arial"/>
          <w:color w:val="000000"/>
          <w:sz w:val="24"/>
          <w:szCs w:val="24"/>
          <w:bdr w:val="none" w:sz="0" w:space="0" w:color="auto" w:frame="1"/>
          <w:lang w:eastAsia="pt-BR"/>
        </w:rPr>
        <w:t>, no uso de atribuição que lhe confere o inciso VII do</w:t>
      </w:r>
      <w:r w:rsidR="00B22642">
        <w:rPr>
          <w:rFonts w:ascii="Arial" w:eastAsia="Times New Roman" w:hAnsi="Arial" w:cs="Arial"/>
          <w:color w:val="000000"/>
          <w:sz w:val="24"/>
          <w:szCs w:val="24"/>
          <w:bdr w:val="none" w:sz="0" w:space="0" w:color="auto" w:frame="1"/>
          <w:lang w:eastAsia="pt-BR"/>
        </w:rPr>
        <w:t xml:space="preserve"> </w:t>
      </w:r>
      <w:hyperlink r:id="rId5" w:history="1">
        <w:r w:rsidRPr="00667835">
          <w:rPr>
            <w:rFonts w:ascii="Arial" w:eastAsia="Times New Roman" w:hAnsi="Arial" w:cs="Arial"/>
            <w:color w:val="CC0000"/>
            <w:sz w:val="24"/>
            <w:szCs w:val="24"/>
            <w:bdr w:val="none" w:sz="0" w:space="0" w:color="auto" w:frame="1"/>
            <w:lang w:eastAsia="pt-BR"/>
          </w:rPr>
          <w:t>art. 90 da Constituição do Estado</w:t>
        </w:r>
      </w:hyperlink>
      <w:r w:rsidRPr="00667835">
        <w:rPr>
          <w:rFonts w:ascii="Arial" w:eastAsia="Times New Roman" w:hAnsi="Arial" w:cs="Arial"/>
          <w:color w:val="000000"/>
          <w:sz w:val="24"/>
          <w:szCs w:val="24"/>
          <w:bdr w:val="none" w:sz="0" w:space="0" w:color="auto" w:frame="1"/>
          <w:lang w:eastAsia="pt-BR"/>
        </w:rPr>
        <w:t xml:space="preserve"> e tendo em vista o disposto na Lei Federal nº 4.320, de 17 de março de 1964, na Lei Complementar Federal nº 101, de </w:t>
      </w:r>
      <w:proofErr w:type="gramStart"/>
      <w:r w:rsidRPr="00667835">
        <w:rPr>
          <w:rFonts w:ascii="Arial" w:eastAsia="Times New Roman" w:hAnsi="Arial" w:cs="Arial"/>
          <w:color w:val="000000"/>
          <w:sz w:val="24"/>
          <w:szCs w:val="24"/>
          <w:bdr w:val="none" w:sz="0" w:space="0" w:color="auto" w:frame="1"/>
          <w:lang w:eastAsia="pt-BR"/>
        </w:rPr>
        <w:t>4</w:t>
      </w:r>
      <w:proofErr w:type="gramEnd"/>
      <w:r w:rsidRPr="00667835">
        <w:rPr>
          <w:rFonts w:ascii="Arial" w:eastAsia="Times New Roman" w:hAnsi="Arial" w:cs="Arial"/>
          <w:color w:val="000000"/>
          <w:sz w:val="24"/>
          <w:szCs w:val="24"/>
          <w:bdr w:val="none" w:sz="0" w:space="0" w:color="auto" w:frame="1"/>
          <w:lang w:eastAsia="pt-BR"/>
        </w:rPr>
        <w:t xml:space="preserve"> de maio de 2000, na </w:t>
      </w:r>
      <w:hyperlink r:id="rId6" w:history="1">
        <w:r w:rsidRPr="00667835">
          <w:rPr>
            <w:rFonts w:ascii="Arial" w:eastAsia="Times New Roman" w:hAnsi="Arial" w:cs="Arial"/>
            <w:color w:val="CC0000"/>
            <w:sz w:val="24"/>
            <w:szCs w:val="24"/>
            <w:bdr w:val="none" w:sz="0" w:space="0" w:color="auto" w:frame="1"/>
            <w:lang w:eastAsia="pt-BR"/>
          </w:rPr>
          <w:t>Lei nº 22.626, de 28 de julho de 2017</w:t>
        </w:r>
      </w:hyperlink>
      <w:r w:rsidRPr="00667835">
        <w:rPr>
          <w:rFonts w:ascii="Arial" w:eastAsia="Times New Roman" w:hAnsi="Arial" w:cs="Arial"/>
          <w:color w:val="000000"/>
          <w:sz w:val="24"/>
          <w:szCs w:val="24"/>
          <w:bdr w:val="none" w:sz="0" w:space="0" w:color="auto" w:frame="1"/>
          <w:lang w:eastAsia="pt-BR"/>
        </w:rPr>
        <w:t>, e na </w:t>
      </w:r>
      <w:hyperlink r:id="rId7" w:history="1">
        <w:r w:rsidRPr="00667835">
          <w:rPr>
            <w:rFonts w:ascii="Arial" w:eastAsia="Times New Roman" w:hAnsi="Arial" w:cs="Arial"/>
            <w:color w:val="CC0000"/>
            <w:sz w:val="24"/>
            <w:szCs w:val="24"/>
            <w:bdr w:val="none" w:sz="0" w:space="0" w:color="auto" w:frame="1"/>
            <w:lang w:eastAsia="pt-BR"/>
          </w:rPr>
          <w:t>Lei nº 22.943, de 12 de janeiro de 2018</w:t>
        </w:r>
      </w:hyperlink>
      <w:r w:rsidRPr="00667835">
        <w:rPr>
          <w:rFonts w:ascii="Arial" w:eastAsia="Times New Roman" w:hAnsi="Arial" w:cs="Arial"/>
          <w:color w:val="000000"/>
          <w:sz w:val="24"/>
          <w:szCs w:val="24"/>
          <w:bdr w:val="none" w:sz="0" w:space="0" w:color="auto" w:frame="1"/>
          <w:lang w:eastAsia="pt-BR"/>
        </w:rPr>
        <w:t>,</w:t>
      </w:r>
    </w:p>
    <w:p w:rsidR="00643565" w:rsidRDefault="00643565" w:rsidP="00667835">
      <w:pPr>
        <w:spacing w:after="0" w:line="240" w:lineRule="auto"/>
        <w:ind w:firstLine="1418"/>
        <w:jc w:val="both"/>
        <w:rPr>
          <w:rFonts w:ascii="Arial" w:eastAsia="Times New Roman" w:hAnsi="Arial" w:cs="Arial"/>
          <w:b/>
          <w:bCs/>
          <w:caps/>
          <w:color w:val="000000"/>
          <w:sz w:val="24"/>
          <w:szCs w:val="24"/>
          <w:bdr w:val="none" w:sz="0" w:space="0" w:color="auto" w:frame="1"/>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b/>
          <w:bCs/>
          <w:caps/>
          <w:color w:val="000000"/>
          <w:sz w:val="24"/>
          <w:szCs w:val="24"/>
          <w:bdr w:val="none" w:sz="0" w:space="0" w:color="auto" w:frame="1"/>
          <w:lang w:eastAsia="pt-BR"/>
        </w:rPr>
        <w:t>DECRETA: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CAPÍTULO I</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DA PROGRAMAÇÃO ORÇAMENTÁRIA E FINANCEIRA DA DESPESA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Seção I</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Disposições Gerais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1º – A programação orçamentária e financeira da despesa dos órgãos e entidades do Poder Executivo fica estabelecida com base no orçamento aprovado pela </w:t>
      </w:r>
      <w:hyperlink r:id="rId8" w:history="1">
        <w:r w:rsidRPr="00667835">
          <w:rPr>
            <w:rFonts w:ascii="Arial" w:eastAsia="Times New Roman" w:hAnsi="Arial" w:cs="Arial"/>
            <w:color w:val="CC0000"/>
            <w:sz w:val="24"/>
            <w:szCs w:val="24"/>
            <w:bdr w:val="none" w:sz="0" w:space="0" w:color="auto" w:frame="1"/>
            <w:lang w:eastAsia="pt-BR"/>
          </w:rPr>
          <w:t>Lei nº 22.943, de 12 de janeiro de 2018</w:t>
        </w:r>
      </w:hyperlink>
      <w:r w:rsidRPr="00667835">
        <w:rPr>
          <w:rFonts w:ascii="Arial" w:eastAsia="Times New Roman" w:hAnsi="Arial" w:cs="Arial"/>
          <w:color w:val="000000"/>
          <w:sz w:val="24"/>
          <w:szCs w:val="24"/>
          <w:bdr w:val="none" w:sz="0" w:space="0" w:color="auto" w:frame="1"/>
          <w:lang w:eastAsia="pt-BR"/>
        </w:rPr>
        <w:t>, e nas projeções anuais das disponibilidades financeiras do Tesouro Estadual, constituindo-se como limitação à aprovação de cota orçamentária e financeira.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1º – Os limites orçamentários anuais e a programação do exercício são os constantes nos Anexos I e II.</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 2º – O Anexo I estabelece o limite anual para o empenho e a programação para os grupos de despesa </w:t>
      </w:r>
      <w:proofErr w:type="gramStart"/>
      <w:r w:rsidRPr="00667835">
        <w:rPr>
          <w:rFonts w:ascii="Arial" w:eastAsia="Times New Roman" w:hAnsi="Arial" w:cs="Arial"/>
          <w:color w:val="000000"/>
          <w:sz w:val="24"/>
          <w:szCs w:val="24"/>
          <w:bdr w:val="none" w:sz="0" w:space="0" w:color="auto" w:frame="1"/>
          <w:lang w:eastAsia="pt-BR"/>
        </w:rPr>
        <w:t>3</w:t>
      </w:r>
      <w:proofErr w:type="gramEnd"/>
      <w:r w:rsidRPr="00667835">
        <w:rPr>
          <w:rFonts w:ascii="Arial" w:eastAsia="Times New Roman" w:hAnsi="Arial" w:cs="Arial"/>
          <w:color w:val="000000"/>
          <w:sz w:val="24"/>
          <w:szCs w:val="24"/>
          <w:bdr w:val="none" w:sz="0" w:space="0" w:color="auto" w:frame="1"/>
          <w:lang w:eastAsia="pt-BR"/>
        </w:rPr>
        <w:t xml:space="preserve"> – Outras Despesas Correntes, 4 – Investimentos e 5 – Inversões Financeiras, Identificadores de Procedência e Uso, 1 – Recursos recebidos para livre utilização e 2 – Recursos recebidos de outra unidade orçamentária do orçamento fiscal para livre utilização, bem como para as fontes de recursos informadas no respectivo anexo.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3º – O Anexo II estabelece o limite anual e os valores para programação dos desembolsos destinados ao pagamento das despesas inscritas para o exercício de 2018 como Restos a Pagar, subsidiadas com recursos financeiros com trânsito junto ao Tesouro Estadual.</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 4º – Excluem-se da limitação e programação de custeio previstas no § 1º as fontes de recursos e identificadores de procedência e uso não informados nos respectivos anexos, que terão como limite de programação o crédito orçamentário e serão liberados conforme autorização da Superintendência Central de Informações e Apoio às Políticas Estratégicas da Secretaria de Estado de Planejamento de Gestão – </w:t>
      </w:r>
      <w:proofErr w:type="spellStart"/>
      <w:r w:rsidRPr="00667835">
        <w:rPr>
          <w:rFonts w:ascii="Arial" w:eastAsia="Times New Roman" w:hAnsi="Arial" w:cs="Arial"/>
          <w:color w:val="000000"/>
          <w:sz w:val="24"/>
          <w:szCs w:val="24"/>
          <w:bdr w:val="none" w:sz="0" w:space="0" w:color="auto" w:frame="1"/>
          <w:lang w:eastAsia="pt-BR"/>
        </w:rPr>
        <w:t>Sciape-Seplag</w:t>
      </w:r>
      <w:proofErr w:type="spellEnd"/>
      <w:r w:rsidRPr="00667835">
        <w:rPr>
          <w:rFonts w:ascii="Arial" w:eastAsia="Times New Roman" w:hAnsi="Arial" w:cs="Arial"/>
          <w:color w:val="000000"/>
          <w:sz w:val="24"/>
          <w:szCs w:val="24"/>
          <w:bdr w:val="none" w:sz="0" w:space="0" w:color="auto" w:frame="1"/>
          <w:lang w:eastAsia="pt-BR"/>
        </w:rPr>
        <w:t xml:space="preserve"> –, para as ações de acompanhamento intensivo, da Superintendência Central de Planejamento e Programação Orçamentária da </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 SCPPO-</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 para o acompanhamento das demais ações, ou da Superintendência Central de Coordenação Geral da </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 SCCG-</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 por meio da Diretoria Central de Gestão de Convênios de Entrada – DCGCE –, nos casos de convênios e outros instrumentos </w:t>
      </w:r>
      <w:proofErr w:type="gramStart"/>
      <w:r w:rsidRPr="00667835">
        <w:rPr>
          <w:rFonts w:ascii="Arial" w:eastAsia="Times New Roman" w:hAnsi="Arial" w:cs="Arial"/>
          <w:color w:val="000000"/>
          <w:sz w:val="24"/>
          <w:szCs w:val="24"/>
          <w:bdr w:val="none" w:sz="0" w:space="0" w:color="auto" w:frame="1"/>
          <w:lang w:eastAsia="pt-BR"/>
        </w:rPr>
        <w:t>congêneres, observado</w:t>
      </w:r>
      <w:proofErr w:type="gramEnd"/>
      <w:r w:rsidRPr="00667835">
        <w:rPr>
          <w:rFonts w:ascii="Arial" w:eastAsia="Times New Roman" w:hAnsi="Arial" w:cs="Arial"/>
          <w:color w:val="000000"/>
          <w:sz w:val="24"/>
          <w:szCs w:val="24"/>
          <w:bdr w:val="none" w:sz="0" w:space="0" w:color="auto" w:frame="1"/>
          <w:lang w:eastAsia="pt-BR"/>
        </w:rPr>
        <w:t xml:space="preserve"> o fluxo de receita.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lastRenderedPageBreak/>
        <w:t xml:space="preserve">§ 5º – As programações de capital e inversões financeiras, independentemente da fonte de recurso ou procedência e uso, deverão ser </w:t>
      </w:r>
      <w:proofErr w:type="gramStart"/>
      <w:r w:rsidRPr="00667835">
        <w:rPr>
          <w:rFonts w:ascii="Arial" w:eastAsia="Times New Roman" w:hAnsi="Arial" w:cs="Arial"/>
          <w:color w:val="000000"/>
          <w:sz w:val="24"/>
          <w:szCs w:val="24"/>
          <w:bdr w:val="none" w:sz="0" w:space="0" w:color="auto" w:frame="1"/>
          <w:lang w:eastAsia="pt-BR"/>
        </w:rPr>
        <w:t>submetidas</w:t>
      </w:r>
      <w:proofErr w:type="gramEnd"/>
      <w:r w:rsidRPr="00667835">
        <w:rPr>
          <w:rFonts w:ascii="Arial" w:eastAsia="Times New Roman" w:hAnsi="Arial" w:cs="Arial"/>
          <w:color w:val="000000"/>
          <w:sz w:val="24"/>
          <w:szCs w:val="24"/>
          <w:bdr w:val="none" w:sz="0" w:space="0" w:color="auto" w:frame="1"/>
          <w:lang w:eastAsia="pt-BR"/>
        </w:rPr>
        <w:t xml:space="preserve"> à aprovação da Câmara de Orçamento e Finanças – COF –, por meio de ofício do titular da pasta, tramitado pelo Sistema Eletrônico de Informações – SEI.</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6º – As programações que ultrapassem os limites definidos pelo Anexo I deverão ser encaminhadas à COF para deliberação, por meio de ofício do titular da pasta, tramitado pelo SEI.</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7º – Poderão ser realizados no ano de 2018, em caráter transitório, os ajustes contábeis, cadastrais e outros que se fizerem necessários para evitar prejuízos à execução orçamentária e financeira dos programas e ações vinculados aos órgãos e entidades que sofrerem alterações decorrentes de normas que tratem da estrutura orgânica da administração pública do Poder Executivo.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Art. 2º – Com vistas à garantia do equilíbrio do resultado fiscal para o exercício, e no intuito de assegurar a adequação da execução orçamentária e financeira às disponibilidades de caixa do Tesouro Estadual, a COF poderá rever os limites estabelecidos nos Anexos I e II, nos termos da Lei Complementar Federal nº 101, de </w:t>
      </w:r>
      <w:proofErr w:type="gramStart"/>
      <w:r w:rsidRPr="00667835">
        <w:rPr>
          <w:rFonts w:ascii="Arial" w:eastAsia="Times New Roman" w:hAnsi="Arial" w:cs="Arial"/>
          <w:color w:val="000000"/>
          <w:sz w:val="24"/>
          <w:szCs w:val="24"/>
          <w:bdr w:val="none" w:sz="0" w:space="0" w:color="auto" w:frame="1"/>
          <w:lang w:eastAsia="pt-BR"/>
        </w:rPr>
        <w:t>4</w:t>
      </w:r>
      <w:proofErr w:type="gramEnd"/>
      <w:r w:rsidRPr="00667835">
        <w:rPr>
          <w:rFonts w:ascii="Arial" w:eastAsia="Times New Roman" w:hAnsi="Arial" w:cs="Arial"/>
          <w:color w:val="000000"/>
          <w:sz w:val="24"/>
          <w:szCs w:val="24"/>
          <w:bdr w:val="none" w:sz="0" w:space="0" w:color="auto" w:frame="1"/>
          <w:lang w:eastAsia="pt-BR"/>
        </w:rPr>
        <w:t xml:space="preserve"> de maio de 2000.</w:t>
      </w:r>
    </w:p>
    <w:p w:rsidR="00667FAA" w:rsidRDefault="00667FAA"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Seção II</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Do Módulo de Programação Orçamentária do Sistema Integrado de Administração Financeira de Minas Gerais – </w:t>
      </w:r>
      <w:proofErr w:type="spellStart"/>
      <w:proofErr w:type="gramStart"/>
      <w:r w:rsidRPr="00667835">
        <w:rPr>
          <w:rFonts w:ascii="Arial" w:eastAsia="Times New Roman" w:hAnsi="Arial" w:cs="Arial"/>
          <w:color w:val="000000"/>
          <w:sz w:val="24"/>
          <w:szCs w:val="24"/>
          <w:bdr w:val="none" w:sz="0" w:space="0" w:color="auto" w:frame="1"/>
          <w:lang w:eastAsia="pt-BR"/>
        </w:rPr>
        <w:t>Siafi-MG</w:t>
      </w:r>
      <w:proofErr w:type="spellEnd"/>
      <w:proofErr w:type="gramEnd"/>
    </w:p>
    <w:p w:rsidR="00667FAA" w:rsidRDefault="00667FAA"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Art. 3º – O Módulo de Programação Orçamentária do Sistema Integrado de Administração Financeira de Minas Gerais – </w:t>
      </w:r>
      <w:proofErr w:type="spellStart"/>
      <w:proofErr w:type="gramStart"/>
      <w:r w:rsidRPr="00667835">
        <w:rPr>
          <w:rFonts w:ascii="Arial" w:eastAsia="Times New Roman" w:hAnsi="Arial" w:cs="Arial"/>
          <w:color w:val="000000"/>
          <w:sz w:val="24"/>
          <w:szCs w:val="24"/>
          <w:bdr w:val="none" w:sz="0" w:space="0" w:color="auto" w:frame="1"/>
          <w:lang w:eastAsia="pt-BR"/>
        </w:rPr>
        <w:t>Siafi-MG</w:t>
      </w:r>
      <w:proofErr w:type="spellEnd"/>
      <w:proofErr w:type="gramEnd"/>
      <w:r w:rsidRPr="00667835">
        <w:rPr>
          <w:rFonts w:ascii="Arial" w:eastAsia="Times New Roman" w:hAnsi="Arial" w:cs="Arial"/>
          <w:color w:val="000000"/>
          <w:sz w:val="24"/>
          <w:szCs w:val="24"/>
          <w:bdr w:val="none" w:sz="0" w:space="0" w:color="auto" w:frame="1"/>
          <w:lang w:eastAsia="pt-BR"/>
        </w:rPr>
        <w:t xml:space="preserve"> – tem por finalidade registrar os limites orçamentários, estabelecidos a partir do crédito autorizado para o exercício financeiro, respeitados os limites estabelecidos no Anexo I, e captar as respectivas programações orçamentárias realizadas para cada unidade orçamentária por meio das Superintendências de Planejamento, Gestão e Finanças ou unidades equivalentes, observadas as seguintes regras gerais: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 – realização e aprovação da programação orçamentária no módulo como requisito para a disponibilização das cotas orçamentárias à execução das respectivas despesas;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 – detalhamento da programação orçamentária mensal e obrigatória por grupo de despesa, fonte de recurso, identificador de procedência e uso, identificador de ação governamental, projeto ou atividade, elemento e item de despesa, conforme limites estabelecidos;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III – após aprovação da programação orçamentária, a descentralização da cota orçamentária no </w:t>
      </w:r>
      <w:proofErr w:type="spellStart"/>
      <w:proofErr w:type="gramStart"/>
      <w:r w:rsidRPr="00667835">
        <w:rPr>
          <w:rFonts w:ascii="Arial" w:eastAsia="Times New Roman" w:hAnsi="Arial" w:cs="Arial"/>
          <w:color w:val="000000"/>
          <w:sz w:val="24"/>
          <w:szCs w:val="24"/>
          <w:bdr w:val="none" w:sz="0" w:space="0" w:color="auto" w:frame="1"/>
          <w:lang w:eastAsia="pt-BR"/>
        </w:rPr>
        <w:t>Siafi-MG</w:t>
      </w:r>
      <w:proofErr w:type="spellEnd"/>
      <w:proofErr w:type="gramEnd"/>
      <w:r w:rsidRPr="00667835">
        <w:rPr>
          <w:rFonts w:ascii="Arial" w:eastAsia="Times New Roman" w:hAnsi="Arial" w:cs="Arial"/>
          <w:color w:val="000000"/>
          <w:sz w:val="24"/>
          <w:szCs w:val="24"/>
          <w:bdr w:val="none" w:sz="0" w:space="0" w:color="auto" w:frame="1"/>
          <w:lang w:eastAsia="pt-BR"/>
        </w:rPr>
        <w:t xml:space="preserve"> deverá respeitar a programação realizada para cada projeto ou atividade e, em casos específicos, também a programação realizada por elemento e item de despesa, conforme limites estabelecidos;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IV – programações orçamentárias realizadas para as contratações no Portal de Compras do Sistema Integrado de Administração de Materiais e Serviços – </w:t>
      </w:r>
      <w:proofErr w:type="spellStart"/>
      <w:r w:rsidRPr="00667835">
        <w:rPr>
          <w:rFonts w:ascii="Arial" w:eastAsia="Times New Roman" w:hAnsi="Arial" w:cs="Arial"/>
          <w:color w:val="000000"/>
          <w:sz w:val="24"/>
          <w:szCs w:val="24"/>
          <w:bdr w:val="none" w:sz="0" w:space="0" w:color="auto" w:frame="1"/>
          <w:lang w:eastAsia="pt-BR"/>
        </w:rPr>
        <w:t>Siad</w:t>
      </w:r>
      <w:proofErr w:type="spellEnd"/>
      <w:r w:rsidRPr="00667835">
        <w:rPr>
          <w:rFonts w:ascii="Arial" w:eastAsia="Times New Roman" w:hAnsi="Arial" w:cs="Arial"/>
          <w:color w:val="000000"/>
          <w:sz w:val="24"/>
          <w:szCs w:val="24"/>
          <w:bdr w:val="none" w:sz="0" w:space="0" w:color="auto" w:frame="1"/>
          <w:lang w:eastAsia="pt-BR"/>
        </w:rPr>
        <w:t xml:space="preserve"> – e repasses de saída no Sistema de Gestão de Convênios, Portarias e Contratos do Estado de Minas Gerais – </w:t>
      </w:r>
      <w:proofErr w:type="spellStart"/>
      <w:r w:rsidRPr="00667835">
        <w:rPr>
          <w:rFonts w:ascii="Arial" w:eastAsia="Times New Roman" w:hAnsi="Arial" w:cs="Arial"/>
          <w:color w:val="000000"/>
          <w:sz w:val="24"/>
          <w:szCs w:val="24"/>
          <w:bdr w:val="none" w:sz="0" w:space="0" w:color="auto" w:frame="1"/>
          <w:lang w:eastAsia="pt-BR"/>
        </w:rPr>
        <w:t>Sigcon</w:t>
      </w:r>
      <w:proofErr w:type="spellEnd"/>
      <w:r w:rsidRPr="00667835">
        <w:rPr>
          <w:rFonts w:ascii="Arial" w:eastAsia="Times New Roman" w:hAnsi="Arial" w:cs="Arial"/>
          <w:color w:val="000000"/>
          <w:sz w:val="24"/>
          <w:szCs w:val="24"/>
          <w:bdr w:val="none" w:sz="0" w:space="0" w:color="auto" w:frame="1"/>
          <w:lang w:eastAsia="pt-BR"/>
        </w:rPr>
        <w:t xml:space="preserve"> MG-</w:t>
      </w:r>
      <w:proofErr w:type="gramStart"/>
      <w:r w:rsidRPr="00667835">
        <w:rPr>
          <w:rFonts w:ascii="Arial" w:eastAsia="Times New Roman" w:hAnsi="Arial" w:cs="Arial"/>
          <w:color w:val="000000"/>
          <w:sz w:val="24"/>
          <w:szCs w:val="24"/>
          <w:bdr w:val="none" w:sz="0" w:space="0" w:color="auto" w:frame="1"/>
          <w:lang w:eastAsia="pt-BR"/>
        </w:rPr>
        <w:t>Módulo Saída</w:t>
      </w:r>
      <w:proofErr w:type="gramEnd"/>
      <w:r w:rsidRPr="00667835">
        <w:rPr>
          <w:rFonts w:ascii="Arial" w:eastAsia="Times New Roman" w:hAnsi="Arial" w:cs="Arial"/>
          <w:color w:val="000000"/>
          <w:sz w:val="24"/>
          <w:szCs w:val="24"/>
          <w:bdr w:val="none" w:sz="0" w:space="0" w:color="auto" w:frame="1"/>
          <w:lang w:eastAsia="pt-BR"/>
        </w:rPr>
        <w:t xml:space="preserve"> – serão refletidos no Módulo de Programação Orçamentária do </w:t>
      </w:r>
      <w:proofErr w:type="spellStart"/>
      <w:r w:rsidRPr="00667835">
        <w:rPr>
          <w:rFonts w:ascii="Arial" w:eastAsia="Times New Roman" w:hAnsi="Arial" w:cs="Arial"/>
          <w:color w:val="000000"/>
          <w:sz w:val="24"/>
          <w:szCs w:val="24"/>
          <w:bdr w:val="none" w:sz="0" w:space="0" w:color="auto" w:frame="1"/>
          <w:lang w:eastAsia="pt-BR"/>
        </w:rPr>
        <w:t>Siafi-MG</w:t>
      </w:r>
      <w:proofErr w:type="spellEnd"/>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lastRenderedPageBreak/>
        <w:t xml:space="preserve">§ 1º – São usuários do Módulo de Programação Orçamentária do </w:t>
      </w:r>
      <w:proofErr w:type="spellStart"/>
      <w:proofErr w:type="gramStart"/>
      <w:r w:rsidRPr="00667835">
        <w:rPr>
          <w:rFonts w:ascii="Arial" w:eastAsia="Times New Roman" w:hAnsi="Arial" w:cs="Arial"/>
          <w:color w:val="000000"/>
          <w:sz w:val="24"/>
          <w:szCs w:val="24"/>
          <w:bdr w:val="none" w:sz="0" w:space="0" w:color="auto" w:frame="1"/>
          <w:lang w:eastAsia="pt-BR"/>
        </w:rPr>
        <w:t>Siafi-MG</w:t>
      </w:r>
      <w:proofErr w:type="spellEnd"/>
      <w:proofErr w:type="gramEnd"/>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 – obrigatórios para todas as despesas: os órgãos e entidades da administração pública direta, autárquica e fundacional do Poder Executivo e empresas estatais dependentes;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 – facultativos: o Poder Judiciário estadual, a Assembleia Legislativa, o Tribunal de Contas, o Ministério Público e a Defensoria Pública.</w:t>
      </w:r>
    </w:p>
    <w:p w:rsidR="00667FAA" w:rsidRDefault="00667FAA"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Seção III</w:t>
      </w:r>
    </w:p>
    <w:p w:rsidR="00667835" w:rsidRDefault="00667835"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color w:val="000000"/>
          <w:sz w:val="24"/>
          <w:szCs w:val="24"/>
          <w:bdr w:val="none" w:sz="0" w:space="0" w:color="auto" w:frame="1"/>
          <w:lang w:eastAsia="pt-BR"/>
        </w:rPr>
        <w:t xml:space="preserve">Das Informações sobre a Programação Orçamentária, Financeira e Informações </w:t>
      </w:r>
      <w:proofErr w:type="gramStart"/>
      <w:r w:rsidRPr="00667835">
        <w:rPr>
          <w:rFonts w:ascii="Arial" w:eastAsia="Times New Roman" w:hAnsi="Arial" w:cs="Arial"/>
          <w:color w:val="000000"/>
          <w:sz w:val="24"/>
          <w:szCs w:val="24"/>
          <w:bdr w:val="none" w:sz="0" w:space="0" w:color="auto" w:frame="1"/>
          <w:lang w:eastAsia="pt-BR"/>
        </w:rPr>
        <w:t>correlatas</w:t>
      </w:r>
      <w:proofErr w:type="gramEnd"/>
    </w:p>
    <w:p w:rsidR="00667FAA" w:rsidRPr="00667835" w:rsidRDefault="00667FAA" w:rsidP="00667835">
      <w:pPr>
        <w:spacing w:after="0" w:line="240" w:lineRule="auto"/>
        <w:ind w:firstLine="1418"/>
        <w:jc w:val="both"/>
        <w:rPr>
          <w:rFonts w:ascii="Arial" w:eastAsia="Times New Roman" w:hAnsi="Arial" w:cs="Arial"/>
          <w:color w:val="000000"/>
          <w:sz w:val="18"/>
          <w:szCs w:val="18"/>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4º – Os órgãos e entidades, por meio de suas Superintendências de Planejamento, Gestão e Finanças ou unidades equivalentes, providenciarão as seguintes informações: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 – para a SCPPO-</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até dez dias úteis após a publicação deste decreto, por meio de planilha disponibilizada pela superintendência, a programação </w:t>
      </w:r>
      <w:proofErr w:type="gramStart"/>
      <w:r w:rsidRPr="00667835">
        <w:rPr>
          <w:rFonts w:ascii="Arial" w:eastAsia="Times New Roman" w:hAnsi="Arial" w:cs="Arial"/>
          <w:color w:val="000000"/>
          <w:sz w:val="24"/>
          <w:szCs w:val="24"/>
          <w:bdr w:val="none" w:sz="0" w:space="0" w:color="auto" w:frame="1"/>
          <w:lang w:eastAsia="pt-BR"/>
        </w:rPr>
        <w:t>orçamentária para cada mês do exercício, respeitados</w:t>
      </w:r>
      <w:proofErr w:type="gramEnd"/>
      <w:r w:rsidRPr="00667835">
        <w:rPr>
          <w:rFonts w:ascii="Arial" w:eastAsia="Times New Roman" w:hAnsi="Arial" w:cs="Arial"/>
          <w:color w:val="000000"/>
          <w:sz w:val="24"/>
          <w:szCs w:val="24"/>
          <w:bdr w:val="none" w:sz="0" w:space="0" w:color="auto" w:frame="1"/>
          <w:lang w:eastAsia="pt-BR"/>
        </w:rPr>
        <w:t xml:space="preserve"> os valores constantes do Anexo I, detalhada por projeto ou atividade, grupo de despesa, fonte de recurso, identificador de procedência e uso, identificador de ação governamental, elemento e item de despesa;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 – para a SCPPO-</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até o quinto dia útil de cada mês, a estimativa mensal de arrecadação de recursos diretamente arrecadados, por classificação de receita, por meio do envio de planilha disponibilizada no site http://www.planejamento.mg.gov.br.</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Parágrafo único – A programação orçamentária de que trata o inciso I será objeto de análise e validação pela SCPPO-</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e pela </w:t>
      </w:r>
      <w:proofErr w:type="spellStart"/>
      <w:r w:rsidRPr="00667835">
        <w:rPr>
          <w:rFonts w:ascii="Arial" w:eastAsia="Times New Roman" w:hAnsi="Arial" w:cs="Arial"/>
          <w:color w:val="000000"/>
          <w:sz w:val="24"/>
          <w:szCs w:val="24"/>
          <w:bdr w:val="none" w:sz="0" w:space="0" w:color="auto" w:frame="1"/>
          <w:lang w:eastAsia="pt-BR"/>
        </w:rPr>
        <w:t>Sciape-Seplag</w:t>
      </w:r>
      <w:proofErr w:type="spellEnd"/>
      <w:r w:rsidRPr="00667835">
        <w:rPr>
          <w:rFonts w:ascii="Arial" w:eastAsia="Times New Roman" w:hAnsi="Arial" w:cs="Arial"/>
          <w:color w:val="000000"/>
          <w:sz w:val="24"/>
          <w:szCs w:val="24"/>
          <w:bdr w:val="none" w:sz="0" w:space="0" w:color="auto" w:frame="1"/>
          <w:lang w:eastAsia="pt-BR"/>
        </w:rPr>
        <w:t>, conforme regulamentação própria da COF, que poderão solicitar sua adequação e autorizar alterações na programação inicial, respeitando os limites definidos no Anexo I.</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5º – Compete aos responsáveis pelas ações de acompanhamento intensivo: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 – definir, conjuntamente com os responsáveis pelas Assessorias de Planejamento ou unidades correspondentes, e Unidades de Planejamento, Gestão e Finanças executoras das ações de acompanhamento intensivo, a programação orçamentária mensal para encaminhamento, por meio do Módulo de Programação Orçamentária do </w:t>
      </w:r>
      <w:proofErr w:type="spellStart"/>
      <w:proofErr w:type="gramStart"/>
      <w:r w:rsidRPr="00667835">
        <w:rPr>
          <w:rFonts w:ascii="Arial" w:eastAsia="Times New Roman" w:hAnsi="Arial" w:cs="Arial"/>
          <w:color w:val="000000"/>
          <w:sz w:val="24"/>
          <w:szCs w:val="24"/>
          <w:bdr w:val="none" w:sz="0" w:space="0" w:color="auto" w:frame="1"/>
          <w:lang w:eastAsia="pt-BR"/>
        </w:rPr>
        <w:t>Siafi-MG</w:t>
      </w:r>
      <w:proofErr w:type="spellEnd"/>
      <w:proofErr w:type="gramEnd"/>
      <w:r w:rsidRPr="00667835">
        <w:rPr>
          <w:rFonts w:ascii="Arial" w:eastAsia="Times New Roman" w:hAnsi="Arial" w:cs="Arial"/>
          <w:color w:val="000000"/>
          <w:sz w:val="24"/>
          <w:szCs w:val="24"/>
          <w:bdr w:val="none" w:sz="0" w:space="0" w:color="auto" w:frame="1"/>
          <w:lang w:eastAsia="pt-BR"/>
        </w:rPr>
        <w:t xml:space="preserve">, ao </w:t>
      </w:r>
      <w:proofErr w:type="spellStart"/>
      <w:r w:rsidRPr="00667835">
        <w:rPr>
          <w:rFonts w:ascii="Arial" w:eastAsia="Times New Roman" w:hAnsi="Arial" w:cs="Arial"/>
          <w:color w:val="000000"/>
          <w:sz w:val="24"/>
          <w:szCs w:val="24"/>
          <w:bdr w:val="none" w:sz="0" w:space="0" w:color="auto" w:frame="1"/>
          <w:lang w:eastAsia="pt-BR"/>
        </w:rPr>
        <w:t>Sciape</w:t>
      </w:r>
      <w:proofErr w:type="spellEnd"/>
      <w:r w:rsidRPr="00667835">
        <w:rPr>
          <w:rFonts w:ascii="Arial" w:eastAsia="Times New Roman" w:hAnsi="Arial" w:cs="Arial"/>
          <w:color w:val="000000"/>
          <w:sz w:val="24"/>
          <w:szCs w:val="24"/>
          <w:bdr w:val="none" w:sz="0" w:space="0" w:color="auto" w:frame="1"/>
          <w:lang w:eastAsia="pt-BR"/>
        </w:rPr>
        <w:t xml:space="preserve"> – </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II – informar, mensalmente, nas reuniões de acompanhamento e gerenciamento da execução física e orçamentária das metas e ações </w:t>
      </w:r>
      <w:proofErr w:type="gramStart"/>
      <w:r w:rsidRPr="00667835">
        <w:rPr>
          <w:rFonts w:ascii="Arial" w:eastAsia="Times New Roman" w:hAnsi="Arial" w:cs="Arial"/>
          <w:color w:val="000000"/>
          <w:sz w:val="24"/>
          <w:szCs w:val="24"/>
          <w:bdr w:val="none" w:sz="0" w:space="0" w:color="auto" w:frame="1"/>
          <w:lang w:eastAsia="pt-BR"/>
        </w:rPr>
        <w:t>estabelecidas para acompanhamento intensivo</w:t>
      </w:r>
      <w:proofErr w:type="gramEnd"/>
      <w:r w:rsidRPr="00667835">
        <w:rPr>
          <w:rFonts w:ascii="Arial" w:eastAsia="Times New Roman" w:hAnsi="Arial" w:cs="Arial"/>
          <w:color w:val="000000"/>
          <w:sz w:val="24"/>
          <w:szCs w:val="24"/>
          <w:bdr w:val="none" w:sz="0" w:space="0" w:color="auto" w:frame="1"/>
          <w:lang w:eastAsia="pt-BR"/>
        </w:rPr>
        <w:t xml:space="preserve">, que serão registradas pela </w:t>
      </w:r>
      <w:proofErr w:type="spellStart"/>
      <w:r w:rsidRPr="00667835">
        <w:rPr>
          <w:rFonts w:ascii="Arial" w:eastAsia="Times New Roman" w:hAnsi="Arial" w:cs="Arial"/>
          <w:color w:val="000000"/>
          <w:sz w:val="24"/>
          <w:szCs w:val="24"/>
          <w:bdr w:val="none" w:sz="0" w:space="0" w:color="auto" w:frame="1"/>
          <w:lang w:eastAsia="pt-BR"/>
        </w:rPr>
        <w:t>Sciape</w:t>
      </w:r>
      <w:proofErr w:type="spellEnd"/>
      <w:r w:rsidRPr="00667835">
        <w:rPr>
          <w:rFonts w:ascii="Arial" w:eastAsia="Times New Roman" w:hAnsi="Arial" w:cs="Arial"/>
          <w:color w:val="000000"/>
          <w:sz w:val="24"/>
          <w:szCs w:val="24"/>
          <w:bdr w:val="none" w:sz="0" w:space="0" w:color="auto" w:frame="1"/>
          <w:lang w:eastAsia="pt-BR"/>
        </w:rPr>
        <w:t xml:space="preserve">- </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no sistema de gestão das ações prioritárias do Governo do Estado de Minas Gerais – MG Planeja;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III – registrar, mensalmente, no Sistema de Informações Gerenciais e de Planejamento – </w:t>
      </w:r>
      <w:proofErr w:type="spellStart"/>
      <w:r w:rsidRPr="00667835">
        <w:rPr>
          <w:rFonts w:ascii="Arial" w:eastAsia="Times New Roman" w:hAnsi="Arial" w:cs="Arial"/>
          <w:color w:val="000000"/>
          <w:sz w:val="24"/>
          <w:szCs w:val="24"/>
          <w:bdr w:val="none" w:sz="0" w:space="0" w:color="auto" w:frame="1"/>
          <w:lang w:eastAsia="pt-BR"/>
        </w:rPr>
        <w:t>Sigplan</w:t>
      </w:r>
      <w:proofErr w:type="spellEnd"/>
      <w:r w:rsidRPr="00667835">
        <w:rPr>
          <w:rFonts w:ascii="Arial" w:eastAsia="Times New Roman" w:hAnsi="Arial" w:cs="Arial"/>
          <w:color w:val="000000"/>
          <w:sz w:val="24"/>
          <w:szCs w:val="24"/>
          <w:bdr w:val="none" w:sz="0" w:space="0" w:color="auto" w:frame="1"/>
          <w:lang w:eastAsia="pt-BR"/>
        </w:rPr>
        <w:t xml:space="preserve"> –, as informações sobre a execução das ações de acompanhamento intensivo, a que se refere o Plano Plurianual de Ação Governamental – PPAG – </w:t>
      </w:r>
      <w:proofErr w:type="gramStart"/>
      <w:r w:rsidRPr="00667835">
        <w:rPr>
          <w:rFonts w:ascii="Arial" w:eastAsia="Times New Roman" w:hAnsi="Arial" w:cs="Arial"/>
          <w:color w:val="000000"/>
          <w:sz w:val="24"/>
          <w:szCs w:val="24"/>
          <w:bdr w:val="none" w:sz="0" w:space="0" w:color="auto" w:frame="1"/>
          <w:lang w:eastAsia="pt-BR"/>
        </w:rPr>
        <w:t>2016-2019, exercício</w:t>
      </w:r>
      <w:proofErr w:type="gramEnd"/>
      <w:r w:rsidRPr="00667835">
        <w:rPr>
          <w:rFonts w:ascii="Arial" w:eastAsia="Times New Roman" w:hAnsi="Arial" w:cs="Arial"/>
          <w:color w:val="000000"/>
          <w:sz w:val="24"/>
          <w:szCs w:val="24"/>
          <w:bdr w:val="none" w:sz="0" w:space="0" w:color="auto" w:frame="1"/>
          <w:lang w:eastAsia="pt-BR"/>
        </w:rPr>
        <w:t xml:space="preserve"> de 2018, de forma regionalizada, especialmente quanto ao desempenho físico e orçamentário previsto e realizado, com a validação bimestral no </w:t>
      </w:r>
      <w:proofErr w:type="spellStart"/>
      <w:r w:rsidRPr="00667835">
        <w:rPr>
          <w:rFonts w:ascii="Arial" w:eastAsia="Times New Roman" w:hAnsi="Arial" w:cs="Arial"/>
          <w:color w:val="000000"/>
          <w:sz w:val="24"/>
          <w:szCs w:val="24"/>
          <w:bdr w:val="none" w:sz="0" w:space="0" w:color="auto" w:frame="1"/>
          <w:lang w:eastAsia="pt-BR"/>
        </w:rPr>
        <w:t>Sigplan</w:t>
      </w:r>
      <w:proofErr w:type="spellEnd"/>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IV – assegurar que o monitoramento das ações de acompanhamento intensivo seja realizado nos termos do Manual </w:t>
      </w:r>
      <w:proofErr w:type="spellStart"/>
      <w:r w:rsidRPr="00667835">
        <w:rPr>
          <w:rFonts w:ascii="Arial" w:eastAsia="Times New Roman" w:hAnsi="Arial" w:cs="Arial"/>
          <w:color w:val="000000"/>
          <w:sz w:val="24"/>
          <w:szCs w:val="24"/>
          <w:bdr w:val="none" w:sz="0" w:space="0" w:color="auto" w:frame="1"/>
          <w:lang w:eastAsia="pt-BR"/>
        </w:rPr>
        <w:t>Sigplan</w:t>
      </w:r>
      <w:proofErr w:type="spellEnd"/>
      <w:r w:rsidRPr="00667835">
        <w:rPr>
          <w:rFonts w:ascii="Arial" w:eastAsia="Times New Roman" w:hAnsi="Arial" w:cs="Arial"/>
          <w:color w:val="000000"/>
          <w:sz w:val="24"/>
          <w:szCs w:val="24"/>
          <w:bdr w:val="none" w:sz="0" w:space="0" w:color="auto" w:frame="1"/>
          <w:lang w:eastAsia="pt-BR"/>
        </w:rPr>
        <w:t xml:space="preserve"> de </w:t>
      </w:r>
      <w:r w:rsidRPr="00667835">
        <w:rPr>
          <w:rFonts w:ascii="Arial" w:eastAsia="Times New Roman" w:hAnsi="Arial" w:cs="Arial"/>
          <w:color w:val="000000"/>
          <w:sz w:val="24"/>
          <w:szCs w:val="24"/>
          <w:bdr w:val="none" w:sz="0" w:space="0" w:color="auto" w:frame="1"/>
          <w:lang w:eastAsia="pt-BR"/>
        </w:rPr>
        <w:lastRenderedPageBreak/>
        <w:t>Monitoramento do PPAG, disponibilizado no site http://www.planejamento.mg.gov.br, especialmente no que tange à regionalização da despesa e à situação de execução das ações.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6º – Compete aos responsáveis pelas Superintendências de Planejamento, Gestão e Finanças e unidades equivalentes: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 – assegurar a precedência, na realização das ações de acompanhamento intensivo, dos convênios de entrada e das operações de crédito, observando a programação e execução orçamentária e financeira;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 – compatibilizar a programação financeira com a programação física e orçamentária;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III – registrar bimestralmente no </w:t>
      </w:r>
      <w:proofErr w:type="spellStart"/>
      <w:r w:rsidRPr="00667835">
        <w:rPr>
          <w:rFonts w:ascii="Arial" w:eastAsia="Times New Roman" w:hAnsi="Arial" w:cs="Arial"/>
          <w:color w:val="000000"/>
          <w:sz w:val="24"/>
          <w:szCs w:val="24"/>
          <w:bdr w:val="none" w:sz="0" w:space="0" w:color="auto" w:frame="1"/>
          <w:lang w:eastAsia="pt-BR"/>
        </w:rPr>
        <w:t>Sigplan</w:t>
      </w:r>
      <w:proofErr w:type="spellEnd"/>
      <w:r w:rsidRPr="00667835">
        <w:rPr>
          <w:rFonts w:ascii="Arial" w:eastAsia="Times New Roman" w:hAnsi="Arial" w:cs="Arial"/>
          <w:color w:val="000000"/>
          <w:sz w:val="24"/>
          <w:szCs w:val="24"/>
          <w:bdr w:val="none" w:sz="0" w:space="0" w:color="auto" w:frame="1"/>
          <w:lang w:eastAsia="pt-BR"/>
        </w:rPr>
        <w:t xml:space="preserve">, as informações sobre a execução dos programas e das ações de acompanhamento geral, constantes no PPAG – 2016-2019, exercício de 2018, de forma regionalizada, especialmente quanto ao desempenho físico e orçamentário previsto e realizado, com a validação bimestral no </w:t>
      </w:r>
      <w:proofErr w:type="spellStart"/>
      <w:r w:rsidRPr="00667835">
        <w:rPr>
          <w:rFonts w:ascii="Arial" w:eastAsia="Times New Roman" w:hAnsi="Arial" w:cs="Arial"/>
          <w:color w:val="000000"/>
          <w:sz w:val="24"/>
          <w:szCs w:val="24"/>
          <w:bdr w:val="none" w:sz="0" w:space="0" w:color="auto" w:frame="1"/>
          <w:lang w:eastAsia="pt-BR"/>
        </w:rPr>
        <w:t>Sigplan</w:t>
      </w:r>
      <w:proofErr w:type="spellEnd"/>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IV – assegurar que o monitoramento dos programas governamentais seja realizado nos termos do Manual </w:t>
      </w:r>
      <w:proofErr w:type="spellStart"/>
      <w:r w:rsidRPr="00667835">
        <w:rPr>
          <w:rFonts w:ascii="Arial" w:eastAsia="Times New Roman" w:hAnsi="Arial" w:cs="Arial"/>
          <w:color w:val="000000"/>
          <w:sz w:val="24"/>
          <w:szCs w:val="24"/>
          <w:bdr w:val="none" w:sz="0" w:space="0" w:color="auto" w:frame="1"/>
          <w:lang w:eastAsia="pt-BR"/>
        </w:rPr>
        <w:t>Sigplan</w:t>
      </w:r>
      <w:proofErr w:type="spellEnd"/>
      <w:r w:rsidRPr="00667835">
        <w:rPr>
          <w:rFonts w:ascii="Arial" w:eastAsia="Times New Roman" w:hAnsi="Arial" w:cs="Arial"/>
          <w:color w:val="000000"/>
          <w:sz w:val="24"/>
          <w:szCs w:val="24"/>
          <w:bdr w:val="none" w:sz="0" w:space="0" w:color="auto" w:frame="1"/>
          <w:lang w:eastAsia="pt-BR"/>
        </w:rPr>
        <w:t xml:space="preserve"> de Monitoramento do PPAG e disponibilizado no site http://www.planejamento.mg.gov.br, especialmente no que tange à regionalização da despesa e a situação de execução das ações;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V – enviar, conforme solicitação da DCGCE-</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as informações relativas à execução física, orçamentária e financeira dos convênios de entrada de recursos, bem como a atualização do cronograma de execução das metas e etapas a serem realizadas e do cronograma de desembolso financeiro;</w:t>
      </w:r>
    </w:p>
    <w:p w:rsidR="00667835" w:rsidRDefault="00667835"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color w:val="000000"/>
          <w:sz w:val="24"/>
          <w:szCs w:val="24"/>
          <w:bdr w:val="none" w:sz="0" w:space="0" w:color="auto" w:frame="1"/>
          <w:lang w:eastAsia="pt-BR"/>
        </w:rPr>
        <w:t>VI – encaminhar as informações previstas no art. 4º.</w:t>
      </w:r>
    </w:p>
    <w:p w:rsidR="00667FAA" w:rsidRPr="00667835" w:rsidRDefault="00667FAA" w:rsidP="00667835">
      <w:pPr>
        <w:spacing w:after="0" w:line="240" w:lineRule="auto"/>
        <w:ind w:firstLine="1418"/>
        <w:jc w:val="both"/>
        <w:rPr>
          <w:rFonts w:ascii="Arial" w:eastAsia="Times New Roman" w:hAnsi="Arial" w:cs="Arial"/>
          <w:color w:val="000000"/>
          <w:sz w:val="18"/>
          <w:szCs w:val="18"/>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Seção IV</w:t>
      </w:r>
    </w:p>
    <w:p w:rsidR="00667835" w:rsidRDefault="00667835"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color w:val="000000"/>
          <w:sz w:val="24"/>
          <w:szCs w:val="24"/>
          <w:bdr w:val="none" w:sz="0" w:space="0" w:color="auto" w:frame="1"/>
          <w:lang w:eastAsia="pt-BR"/>
        </w:rPr>
        <w:t>Da Aprovação da Programação Orçamentária</w:t>
      </w:r>
    </w:p>
    <w:p w:rsidR="00667FAA" w:rsidRPr="00667835" w:rsidRDefault="00667FAA" w:rsidP="00667835">
      <w:pPr>
        <w:spacing w:after="0" w:line="240" w:lineRule="auto"/>
        <w:ind w:firstLine="1418"/>
        <w:jc w:val="both"/>
        <w:rPr>
          <w:rFonts w:ascii="Arial" w:eastAsia="Times New Roman" w:hAnsi="Arial" w:cs="Arial"/>
          <w:color w:val="000000"/>
          <w:sz w:val="18"/>
          <w:szCs w:val="18"/>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Art. 7º – As programações orçamentárias das ações de acompanhamento intensivo serão aprovadas pela </w:t>
      </w:r>
      <w:proofErr w:type="spellStart"/>
      <w:r w:rsidRPr="00667835">
        <w:rPr>
          <w:rFonts w:ascii="Arial" w:eastAsia="Times New Roman" w:hAnsi="Arial" w:cs="Arial"/>
          <w:color w:val="000000"/>
          <w:sz w:val="24"/>
          <w:szCs w:val="24"/>
          <w:bdr w:val="none" w:sz="0" w:space="0" w:color="auto" w:frame="1"/>
          <w:lang w:eastAsia="pt-BR"/>
        </w:rPr>
        <w:t>Sciape-Seplag</w:t>
      </w:r>
      <w:proofErr w:type="spellEnd"/>
      <w:r w:rsidRPr="00667835">
        <w:rPr>
          <w:rFonts w:ascii="Arial" w:eastAsia="Times New Roman" w:hAnsi="Arial" w:cs="Arial"/>
          <w:color w:val="000000"/>
          <w:sz w:val="24"/>
          <w:szCs w:val="24"/>
          <w:bdr w:val="none" w:sz="0" w:space="0" w:color="auto" w:frame="1"/>
          <w:lang w:eastAsia="pt-BR"/>
        </w:rPr>
        <w:t>, a partir das informações fornecidas nas reuniões de acompanhamento e gerenciamento da execução física e orçamentária das metas e ações registradas no MG Planeja.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8º – As programações orçamentárias de convênios de entrada serão aprovadas pela SCCG-</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tendo em vista o plano de aplicação definido para a execução do convênio, bem como o cronograma de execução física e de desembolso previstos no instrumento e ainda pelas informações obtidas pelo monitoramento.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9º – As programações orçamentárias com recursos originários de operações de crédito serão aprovadas pela SCPPO-</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no caso de ações de acompanhamento geral, e pela </w:t>
      </w:r>
      <w:proofErr w:type="spellStart"/>
      <w:r w:rsidRPr="00667835">
        <w:rPr>
          <w:rFonts w:ascii="Arial" w:eastAsia="Times New Roman" w:hAnsi="Arial" w:cs="Arial"/>
          <w:color w:val="000000"/>
          <w:sz w:val="24"/>
          <w:szCs w:val="24"/>
          <w:bdr w:val="none" w:sz="0" w:space="0" w:color="auto" w:frame="1"/>
          <w:lang w:eastAsia="pt-BR"/>
        </w:rPr>
        <w:t>Sciape-Seplag</w:t>
      </w:r>
      <w:proofErr w:type="spellEnd"/>
      <w:r w:rsidRPr="00667835">
        <w:rPr>
          <w:rFonts w:ascii="Arial" w:eastAsia="Times New Roman" w:hAnsi="Arial" w:cs="Arial"/>
          <w:color w:val="000000"/>
          <w:sz w:val="24"/>
          <w:szCs w:val="24"/>
          <w:bdr w:val="none" w:sz="0" w:space="0" w:color="auto" w:frame="1"/>
          <w:lang w:eastAsia="pt-BR"/>
        </w:rPr>
        <w:t>, no caso de ações de acompanhamento intensivo, nos limites financeiros indicados pela Superintendência Central de Governança de Ativos e da Dívida Pública da Secretaria de Estado de Fazenda – SCGOV-SEF –, a partir de acompanhamento mensal realizado com base nas informações disponibilizadas pelos responsáveis pela intervenção financiada.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Parágrafo único – Nos casos das operações de crédito nacionais, a Coordenadoria de Acompanhamento de Investimentos Estratégicos – Caie-</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 apoiará os órgãos e entidades do Estado na execução dos projetos </w:t>
      </w:r>
      <w:r w:rsidRPr="00667835">
        <w:rPr>
          <w:rFonts w:ascii="Arial" w:eastAsia="Times New Roman" w:hAnsi="Arial" w:cs="Arial"/>
          <w:color w:val="000000"/>
          <w:sz w:val="24"/>
          <w:szCs w:val="24"/>
          <w:bdr w:val="none" w:sz="0" w:space="0" w:color="auto" w:frame="1"/>
          <w:lang w:eastAsia="pt-BR"/>
        </w:rPr>
        <w:lastRenderedPageBreak/>
        <w:t>financiados, especialmente no gerenciamento financeiro-orçamentário das intervenções.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10 – As programações orçamentárias referentes às despesas de que trata o Anexo I e outras despesas financiadas com recursos vinculados serão aprovadas com a periodicidade definida pela SCPPO-</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pela </w:t>
      </w:r>
      <w:proofErr w:type="spellStart"/>
      <w:r w:rsidRPr="00667835">
        <w:rPr>
          <w:rFonts w:ascii="Arial" w:eastAsia="Times New Roman" w:hAnsi="Arial" w:cs="Arial"/>
          <w:color w:val="000000"/>
          <w:sz w:val="24"/>
          <w:szCs w:val="24"/>
          <w:bdr w:val="none" w:sz="0" w:space="0" w:color="auto" w:frame="1"/>
          <w:lang w:eastAsia="pt-BR"/>
        </w:rPr>
        <w:t>Sciape-Seplag</w:t>
      </w:r>
      <w:proofErr w:type="spellEnd"/>
      <w:r w:rsidRPr="00667835">
        <w:rPr>
          <w:rFonts w:ascii="Arial" w:eastAsia="Times New Roman" w:hAnsi="Arial" w:cs="Arial"/>
          <w:color w:val="000000"/>
          <w:sz w:val="24"/>
          <w:szCs w:val="24"/>
          <w:bdr w:val="none" w:sz="0" w:space="0" w:color="auto" w:frame="1"/>
          <w:lang w:eastAsia="pt-BR"/>
        </w:rPr>
        <w:t xml:space="preserve"> e pela SCCG-</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nos seguintes termos: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 – recursos ordinários: programação feita pelas unidades orçamentárias;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 – recursos diretamente arrecadados e recursos vinculados: programação feita pelas unidades orçamentárias e o comportamento da arrecadação da receita.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 1º – A aprovação de programação orçamentária para </w:t>
      </w:r>
      <w:proofErr w:type="gramStart"/>
      <w:r w:rsidRPr="00667835">
        <w:rPr>
          <w:rFonts w:ascii="Arial" w:eastAsia="Times New Roman" w:hAnsi="Arial" w:cs="Arial"/>
          <w:color w:val="000000"/>
          <w:sz w:val="24"/>
          <w:szCs w:val="24"/>
          <w:bdr w:val="none" w:sz="0" w:space="0" w:color="auto" w:frame="1"/>
          <w:lang w:eastAsia="pt-BR"/>
        </w:rPr>
        <w:t>as despesas a serem financiadas com recursos vinculados e diretamente arrecadados</w:t>
      </w:r>
      <w:proofErr w:type="gramEnd"/>
      <w:r w:rsidRPr="00667835">
        <w:rPr>
          <w:rFonts w:ascii="Arial" w:eastAsia="Times New Roman" w:hAnsi="Arial" w:cs="Arial"/>
          <w:color w:val="000000"/>
          <w:sz w:val="24"/>
          <w:szCs w:val="24"/>
          <w:bdr w:val="none" w:sz="0" w:space="0" w:color="auto" w:frame="1"/>
          <w:lang w:eastAsia="pt-BR"/>
        </w:rPr>
        <w:t xml:space="preserve"> fica condicionada à reestimativa da arrecadação no exercício de 2018 e ao resultado fiscal esperado para o exercício, cabendo à SCPPO-</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à </w:t>
      </w:r>
      <w:proofErr w:type="spellStart"/>
      <w:r w:rsidRPr="00667835">
        <w:rPr>
          <w:rFonts w:ascii="Arial" w:eastAsia="Times New Roman" w:hAnsi="Arial" w:cs="Arial"/>
          <w:color w:val="000000"/>
          <w:sz w:val="24"/>
          <w:szCs w:val="24"/>
          <w:bdr w:val="none" w:sz="0" w:space="0" w:color="auto" w:frame="1"/>
          <w:lang w:eastAsia="pt-BR"/>
        </w:rPr>
        <w:t>Sciape</w:t>
      </w:r>
      <w:proofErr w:type="spellEnd"/>
      <w:r w:rsidRPr="00667835">
        <w:rPr>
          <w:rFonts w:ascii="Arial" w:eastAsia="Times New Roman" w:hAnsi="Arial" w:cs="Arial"/>
          <w:color w:val="000000"/>
          <w:sz w:val="24"/>
          <w:szCs w:val="24"/>
          <w:bdr w:val="none" w:sz="0" w:space="0" w:color="auto" w:frame="1"/>
          <w:lang w:eastAsia="pt-BR"/>
        </w:rPr>
        <w:t xml:space="preserve"> – </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e à SCCG-</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autorizar, mediante justificativa, a aprovação de programações orçamentárias relativas às receitas ainda não arrecadadas.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2º – As programações orçamentárias relativas às despesas com precatórios e sentenças judiciais serão aprovadas de acordo com cronograma a ser definido pela Advocacia Geral do Estado – AGE.</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3º – A aprovação de programação orçamentária não constitui requisito para abertura de processo licitatório, nos termos do inciso III do § 2º do art. 7º da Lei Federal nº 8.666, de 21 de junho de 1993, ficando o empenho da despesa sujeito às restrições previstas no art. 8º da Lei Complementar Federal nº 101, de 2000, e no art. 40 da </w:t>
      </w:r>
      <w:hyperlink r:id="rId9" w:history="1">
        <w:r w:rsidRPr="00667835">
          <w:rPr>
            <w:rFonts w:ascii="Arial" w:eastAsia="Times New Roman" w:hAnsi="Arial" w:cs="Arial"/>
            <w:color w:val="CC0000"/>
            <w:sz w:val="24"/>
            <w:szCs w:val="24"/>
            <w:bdr w:val="none" w:sz="0" w:space="0" w:color="auto" w:frame="1"/>
            <w:lang w:eastAsia="pt-BR"/>
          </w:rPr>
          <w:t>Lei nº 22.626, de 2017</w:t>
        </w:r>
      </w:hyperlink>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Art. 11 – A aprovação de cotas orçamentárias e financeiras estabelecidas por este decreto poderá ser suspensa para as unidades orçamentárias inadimplentes com o </w:t>
      </w:r>
      <w:proofErr w:type="spellStart"/>
      <w:r w:rsidRPr="00667835">
        <w:rPr>
          <w:rFonts w:ascii="Arial" w:eastAsia="Times New Roman" w:hAnsi="Arial" w:cs="Arial"/>
          <w:color w:val="000000"/>
          <w:sz w:val="24"/>
          <w:szCs w:val="24"/>
          <w:bdr w:val="none" w:sz="0" w:space="0" w:color="auto" w:frame="1"/>
          <w:lang w:eastAsia="pt-BR"/>
        </w:rPr>
        <w:t>Sigplan</w:t>
      </w:r>
      <w:proofErr w:type="spellEnd"/>
      <w:r w:rsidRPr="00667835">
        <w:rPr>
          <w:rFonts w:ascii="Arial" w:eastAsia="Times New Roman" w:hAnsi="Arial" w:cs="Arial"/>
          <w:color w:val="000000"/>
          <w:sz w:val="24"/>
          <w:szCs w:val="24"/>
          <w:bdr w:val="none" w:sz="0" w:space="0" w:color="auto" w:frame="1"/>
          <w:lang w:eastAsia="pt-BR"/>
        </w:rPr>
        <w:t xml:space="preserve"> ou com o Serviço Auxiliar de Informações para Transferências </w:t>
      </w:r>
      <w:proofErr w:type="spellStart"/>
      <w:r w:rsidRPr="00667835">
        <w:rPr>
          <w:rFonts w:ascii="Arial" w:eastAsia="Times New Roman" w:hAnsi="Arial" w:cs="Arial"/>
          <w:color w:val="000000"/>
          <w:sz w:val="24"/>
          <w:szCs w:val="24"/>
          <w:bdr w:val="none" w:sz="0" w:space="0" w:color="auto" w:frame="1"/>
          <w:lang w:eastAsia="pt-BR"/>
        </w:rPr>
        <w:t>Toluntárias</w:t>
      </w:r>
      <w:proofErr w:type="spellEnd"/>
      <w:r w:rsidRPr="00667835">
        <w:rPr>
          <w:rFonts w:ascii="Arial" w:eastAsia="Times New Roman" w:hAnsi="Arial" w:cs="Arial"/>
          <w:color w:val="000000"/>
          <w:sz w:val="24"/>
          <w:szCs w:val="24"/>
          <w:bdr w:val="none" w:sz="0" w:space="0" w:color="auto" w:frame="1"/>
          <w:lang w:eastAsia="pt-BR"/>
        </w:rPr>
        <w:t xml:space="preserve"> – </w:t>
      </w:r>
      <w:proofErr w:type="spellStart"/>
      <w:r w:rsidRPr="00667835">
        <w:rPr>
          <w:rFonts w:ascii="Arial" w:eastAsia="Times New Roman" w:hAnsi="Arial" w:cs="Arial"/>
          <w:color w:val="000000"/>
          <w:sz w:val="24"/>
          <w:szCs w:val="24"/>
          <w:bdr w:val="none" w:sz="0" w:space="0" w:color="auto" w:frame="1"/>
          <w:lang w:eastAsia="pt-BR"/>
        </w:rPr>
        <w:t>Cauc</w:t>
      </w:r>
      <w:proofErr w:type="spellEnd"/>
      <w:r w:rsidRPr="00667835">
        <w:rPr>
          <w:rFonts w:ascii="Arial" w:eastAsia="Times New Roman" w:hAnsi="Arial" w:cs="Arial"/>
          <w:color w:val="000000"/>
          <w:sz w:val="24"/>
          <w:szCs w:val="24"/>
          <w:bdr w:val="none" w:sz="0" w:space="0" w:color="auto" w:frame="1"/>
          <w:lang w:eastAsia="pt-BR"/>
        </w:rPr>
        <w:t xml:space="preserve"> – até que a unidade promova ou comprove os procedimentos para a regularização da inadimplência.</w:t>
      </w:r>
    </w:p>
    <w:p w:rsidR="00667FAA" w:rsidRDefault="00667FAA"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CAPÍTULO II</w:t>
      </w:r>
    </w:p>
    <w:p w:rsidR="00667835" w:rsidRDefault="00667835"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color w:val="000000"/>
          <w:sz w:val="24"/>
          <w:szCs w:val="24"/>
          <w:bdr w:val="none" w:sz="0" w:space="0" w:color="auto" w:frame="1"/>
          <w:lang w:eastAsia="pt-BR"/>
        </w:rPr>
        <w:t>DAS ALTERAÇÕES ORÇAMENTÁRIAS E DOS CRÉDITOS ADICIONAIS</w:t>
      </w:r>
    </w:p>
    <w:p w:rsidR="00667FAA" w:rsidRPr="00667835" w:rsidRDefault="00667FAA" w:rsidP="00B77456">
      <w:pPr>
        <w:spacing w:after="0" w:line="240" w:lineRule="auto"/>
        <w:jc w:val="both"/>
        <w:rPr>
          <w:rFonts w:ascii="Arial" w:eastAsia="Times New Roman" w:hAnsi="Arial" w:cs="Arial"/>
          <w:color w:val="000000"/>
          <w:sz w:val="18"/>
          <w:szCs w:val="18"/>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Art. 12 – As solicitações de alterações orçamentárias que não impactem no limite definido pelo Anexo I deverão ser dirigidas à </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por meio do Sistema Orçamentário – </w:t>
      </w:r>
      <w:proofErr w:type="spellStart"/>
      <w:r w:rsidRPr="00667835">
        <w:rPr>
          <w:rFonts w:ascii="Arial" w:eastAsia="Times New Roman" w:hAnsi="Arial" w:cs="Arial"/>
          <w:color w:val="000000"/>
          <w:sz w:val="24"/>
          <w:szCs w:val="24"/>
          <w:bdr w:val="none" w:sz="0" w:space="0" w:color="auto" w:frame="1"/>
          <w:lang w:eastAsia="pt-BR"/>
        </w:rPr>
        <w:t>Sisor</w:t>
      </w:r>
      <w:proofErr w:type="spellEnd"/>
      <w:r w:rsidRPr="00667835">
        <w:rPr>
          <w:rFonts w:ascii="Arial" w:eastAsia="Times New Roman" w:hAnsi="Arial" w:cs="Arial"/>
          <w:color w:val="000000"/>
          <w:sz w:val="24"/>
          <w:szCs w:val="24"/>
          <w:bdr w:val="none" w:sz="0" w:space="0" w:color="auto" w:frame="1"/>
          <w:lang w:eastAsia="pt-BR"/>
        </w:rPr>
        <w:t xml:space="preserve"> –, instruídas com justificativa circunstanciada da necessidade de alteração, indicando a origem dos recursos e os impactos nas metas físicas das ações anuladas e suplementadas.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13 – São requisitos para a análise das solicitações de alterações orçamentárias de que trata o art. 12:</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 – indicação das dotações orçamentárias a serem suplementadas e anuladas, discriminadas em nível de projeto-atividade, grupo de despesa, modalidade de aplicação, elemento de despesa, fonte de recurso, identificador de procedência e uso e identificador de ação governamental;</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II – justificativa circunstanciada da necessidade de crédito adicional e da existência de recursos para compensação ou, no caso da </w:t>
      </w:r>
      <w:r w:rsidRPr="00667835">
        <w:rPr>
          <w:rFonts w:ascii="Arial" w:eastAsia="Times New Roman" w:hAnsi="Arial" w:cs="Arial"/>
          <w:color w:val="000000"/>
          <w:sz w:val="24"/>
          <w:szCs w:val="24"/>
          <w:bdr w:val="none" w:sz="0" w:space="0" w:color="auto" w:frame="1"/>
          <w:lang w:eastAsia="pt-BR"/>
        </w:rPr>
        <w:lastRenderedPageBreak/>
        <w:t>anulação de dotações orçamentárias, justificativa do órgão ou entidade para o cancelamento, especificando o impacto no desenvolvimento do programa e nas metas físicas da ação que tiver seus recursos anulados;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III – estimativa dos impactos futuros no orçamento da unidade decorrentes da realização da despesa para a qual é solicitado o crédito orçamentário;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IV – justificativa da inviabilidade do cancelamento de dotações orçamentárias </w:t>
      </w:r>
      <w:proofErr w:type="gramStart"/>
      <w:r w:rsidRPr="00667835">
        <w:rPr>
          <w:rFonts w:ascii="Arial" w:eastAsia="Times New Roman" w:hAnsi="Arial" w:cs="Arial"/>
          <w:color w:val="000000"/>
          <w:sz w:val="24"/>
          <w:szCs w:val="24"/>
          <w:bdr w:val="none" w:sz="0" w:space="0" w:color="auto" w:frame="1"/>
          <w:lang w:eastAsia="pt-BR"/>
        </w:rPr>
        <w:t>próprias, quando a suplementação se tratar de aportes adicionais de recursos do Tesouro Estadual ou de aporte de recursos alocados na unidade orçamentária Encargos Gerais do Estado – EGE-</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 destinados à contrapartida a convênios e operações de crédito</w:t>
      </w:r>
      <w:proofErr w:type="gramEnd"/>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V – memória de cálculo da projeção da receita de recursos diretamente arrecadados ou vinculados, excluídos os recursos com fluxo junto ao Tesouro Estadual, quando a suplementação se tratar de excesso de arrecadação;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VI – declaração da Diretoria de Contabilidade e Finanças, ou unidade equivalente, atestando a existência de superávit financeiro de exercícios anteriores, acompanhada de extratos bancários relativos à posição no último dia dos exercícios anteriores, quando se tratar de convênios e portarias de entrada de recursos ou instrumentos congêneres.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1º – O não cumprimento dos procedimentos dispostos neste artigo implica na devolução do pleito ao órgão ou entidade interessada.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 2º – Os créditos adicionais serão abertos nos termos dos </w:t>
      </w:r>
      <w:proofErr w:type="spellStart"/>
      <w:r w:rsidRPr="00667835">
        <w:rPr>
          <w:rFonts w:ascii="Arial" w:eastAsia="Times New Roman" w:hAnsi="Arial" w:cs="Arial"/>
          <w:color w:val="000000"/>
          <w:sz w:val="24"/>
          <w:szCs w:val="24"/>
          <w:bdr w:val="none" w:sz="0" w:space="0" w:color="auto" w:frame="1"/>
          <w:lang w:eastAsia="pt-BR"/>
        </w:rPr>
        <w:t>arts</w:t>
      </w:r>
      <w:proofErr w:type="spellEnd"/>
      <w:r w:rsidRPr="00667835">
        <w:rPr>
          <w:rFonts w:ascii="Arial" w:eastAsia="Times New Roman" w:hAnsi="Arial" w:cs="Arial"/>
          <w:color w:val="000000"/>
          <w:sz w:val="24"/>
          <w:szCs w:val="24"/>
          <w:bdr w:val="none" w:sz="0" w:space="0" w:color="auto" w:frame="1"/>
          <w:lang w:eastAsia="pt-BR"/>
        </w:rPr>
        <w:t xml:space="preserve">. 7º e 42 da Lei Federal nº 4.320, 17 </w:t>
      </w:r>
      <w:proofErr w:type="gramStart"/>
      <w:r w:rsidRPr="00667835">
        <w:rPr>
          <w:rFonts w:ascii="Arial" w:eastAsia="Times New Roman" w:hAnsi="Arial" w:cs="Arial"/>
          <w:color w:val="000000"/>
          <w:sz w:val="24"/>
          <w:szCs w:val="24"/>
          <w:bdr w:val="none" w:sz="0" w:space="0" w:color="auto" w:frame="1"/>
          <w:lang w:eastAsia="pt-BR"/>
        </w:rPr>
        <w:t>de março de 1964, e detalhados no nível do disposto no art. 15 da </w:t>
      </w:r>
      <w:hyperlink r:id="rId10" w:history="1">
        <w:r w:rsidRPr="00667835">
          <w:rPr>
            <w:rFonts w:ascii="Arial" w:eastAsia="Times New Roman" w:hAnsi="Arial" w:cs="Arial"/>
            <w:color w:val="CC0000"/>
            <w:sz w:val="24"/>
            <w:szCs w:val="24"/>
            <w:bdr w:val="none" w:sz="0" w:space="0" w:color="auto" w:frame="1"/>
            <w:lang w:eastAsia="pt-BR"/>
          </w:rPr>
          <w:t>Lei</w:t>
        </w:r>
        <w:proofErr w:type="gramEnd"/>
        <w:r w:rsidRPr="00667835">
          <w:rPr>
            <w:rFonts w:ascii="Arial" w:eastAsia="Times New Roman" w:hAnsi="Arial" w:cs="Arial"/>
            <w:color w:val="CC0000"/>
            <w:sz w:val="24"/>
            <w:szCs w:val="24"/>
            <w:bdr w:val="none" w:sz="0" w:space="0" w:color="auto" w:frame="1"/>
            <w:lang w:eastAsia="pt-BR"/>
          </w:rPr>
          <w:t xml:space="preserve"> nº 22.626, de 2017</w:t>
        </w:r>
      </w:hyperlink>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3º – Os créditos adicionais que tenham como origem de recursos o superávit financeiro de exercícios anteriores serão abertos na mesma fonte de recurso que deu origem ao saldo financeiro apurado no Balanço Patrimonial.</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14 – A modalidade de aplicação e o identificador de procedência e uso, aprovados na </w:t>
      </w:r>
      <w:hyperlink r:id="rId11" w:history="1">
        <w:r w:rsidRPr="00667835">
          <w:rPr>
            <w:rFonts w:ascii="Arial" w:eastAsia="Times New Roman" w:hAnsi="Arial" w:cs="Arial"/>
            <w:color w:val="CC0000"/>
            <w:sz w:val="24"/>
            <w:szCs w:val="24"/>
            <w:bdr w:val="none" w:sz="0" w:space="0" w:color="auto" w:frame="1"/>
            <w:lang w:eastAsia="pt-BR"/>
          </w:rPr>
          <w:t>Lei nº 22.943, de 2018</w:t>
        </w:r>
      </w:hyperlink>
      <w:r w:rsidRPr="00667835">
        <w:rPr>
          <w:rFonts w:ascii="Arial" w:eastAsia="Times New Roman" w:hAnsi="Arial" w:cs="Arial"/>
          <w:color w:val="000000"/>
          <w:sz w:val="24"/>
          <w:szCs w:val="24"/>
          <w:bdr w:val="none" w:sz="0" w:space="0" w:color="auto" w:frame="1"/>
          <w:lang w:eastAsia="pt-BR"/>
        </w:rPr>
        <w:t>, e em seus créditos adicionais, poderão ser modificados nos seguintes termos: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 – para o caso da modalidade de aplicação, diretamente pela unidade orçamentária no </w:t>
      </w:r>
      <w:proofErr w:type="spellStart"/>
      <w:proofErr w:type="gramStart"/>
      <w:r w:rsidRPr="00667835">
        <w:rPr>
          <w:rFonts w:ascii="Arial" w:eastAsia="Times New Roman" w:hAnsi="Arial" w:cs="Arial"/>
          <w:color w:val="000000"/>
          <w:sz w:val="24"/>
          <w:szCs w:val="24"/>
          <w:bdr w:val="none" w:sz="0" w:space="0" w:color="auto" w:frame="1"/>
          <w:lang w:eastAsia="pt-BR"/>
        </w:rPr>
        <w:t>Siafi-MG</w:t>
      </w:r>
      <w:proofErr w:type="spellEnd"/>
      <w:proofErr w:type="gramEnd"/>
      <w:r w:rsidRPr="00667835">
        <w:rPr>
          <w:rFonts w:ascii="Arial" w:eastAsia="Times New Roman" w:hAnsi="Arial" w:cs="Arial"/>
          <w:color w:val="000000"/>
          <w:sz w:val="24"/>
          <w:szCs w:val="24"/>
          <w:bdr w:val="none" w:sz="0" w:space="0" w:color="auto" w:frame="1"/>
          <w:lang w:eastAsia="pt-BR"/>
        </w:rPr>
        <w:t>, observados os limites fixados para cada grupo de despesa, fonte de recurso e identificador de procedência e uso, em cada projeto e atividade;</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 – para o identificador de procedência e uso, por meio de decreto de abertura de crédito adicional para os órgãos e entidades do Poder Executivo.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Parágrafo único – A modalidade de aplicação 99 – “a definir” – dos recursos provenientes de alterações promovidas no âmbito do Poder Legislativo somente poderá ser modificada após aprovação no </w:t>
      </w:r>
      <w:proofErr w:type="spellStart"/>
      <w:proofErr w:type="gramStart"/>
      <w:r w:rsidRPr="00667835">
        <w:rPr>
          <w:rFonts w:ascii="Arial" w:eastAsia="Times New Roman" w:hAnsi="Arial" w:cs="Arial"/>
          <w:color w:val="000000"/>
          <w:sz w:val="24"/>
          <w:szCs w:val="24"/>
          <w:bdr w:val="none" w:sz="0" w:space="0" w:color="auto" w:frame="1"/>
          <w:lang w:eastAsia="pt-BR"/>
        </w:rPr>
        <w:t>Siafi-MG</w:t>
      </w:r>
      <w:proofErr w:type="spellEnd"/>
      <w:proofErr w:type="gramEnd"/>
      <w:r w:rsidRPr="00667835">
        <w:rPr>
          <w:rFonts w:ascii="Arial" w:eastAsia="Times New Roman" w:hAnsi="Arial" w:cs="Arial"/>
          <w:color w:val="000000"/>
          <w:sz w:val="24"/>
          <w:szCs w:val="24"/>
          <w:bdr w:val="none" w:sz="0" w:space="0" w:color="auto" w:frame="1"/>
          <w:lang w:eastAsia="pt-BR"/>
        </w:rPr>
        <w:t xml:space="preserve"> pela SCPPO-</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observado cronograma a ser definido pela Secretaria de Estado de Governo – </w:t>
      </w:r>
      <w:proofErr w:type="spellStart"/>
      <w:r w:rsidRPr="00667835">
        <w:rPr>
          <w:rFonts w:ascii="Arial" w:eastAsia="Times New Roman" w:hAnsi="Arial" w:cs="Arial"/>
          <w:color w:val="000000"/>
          <w:sz w:val="24"/>
          <w:szCs w:val="24"/>
          <w:bdr w:val="none" w:sz="0" w:space="0" w:color="auto" w:frame="1"/>
          <w:lang w:eastAsia="pt-BR"/>
        </w:rPr>
        <w:t>Segov</w:t>
      </w:r>
      <w:proofErr w:type="spellEnd"/>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15 – Os recursos alocados para pagamento de precatórios e sentenças judiciais não poderão ser cancelados para abertura de créditos suplementares com outra finalidade.</w:t>
      </w:r>
    </w:p>
    <w:p w:rsidR="00667835" w:rsidRDefault="00667835"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color w:val="000000"/>
          <w:sz w:val="24"/>
          <w:szCs w:val="24"/>
          <w:bdr w:val="none" w:sz="0" w:space="0" w:color="auto" w:frame="1"/>
          <w:lang w:eastAsia="pt-BR"/>
        </w:rPr>
        <w:t>Art. 16 – Ressalvadas as atribuições da COF, a SCPPO-</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a </w:t>
      </w:r>
      <w:proofErr w:type="spellStart"/>
      <w:r w:rsidRPr="00667835">
        <w:rPr>
          <w:rFonts w:ascii="Arial" w:eastAsia="Times New Roman" w:hAnsi="Arial" w:cs="Arial"/>
          <w:color w:val="000000"/>
          <w:sz w:val="24"/>
          <w:szCs w:val="24"/>
          <w:bdr w:val="none" w:sz="0" w:space="0" w:color="auto" w:frame="1"/>
          <w:lang w:eastAsia="pt-BR"/>
        </w:rPr>
        <w:t>Sciape-Seplag</w:t>
      </w:r>
      <w:proofErr w:type="spellEnd"/>
      <w:r w:rsidRPr="00667835">
        <w:rPr>
          <w:rFonts w:ascii="Arial" w:eastAsia="Times New Roman" w:hAnsi="Arial" w:cs="Arial"/>
          <w:color w:val="000000"/>
          <w:sz w:val="24"/>
          <w:szCs w:val="24"/>
          <w:bdr w:val="none" w:sz="0" w:space="0" w:color="auto" w:frame="1"/>
          <w:lang w:eastAsia="pt-BR"/>
        </w:rPr>
        <w:t xml:space="preserve"> e a SCCG-</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poderão autorizar outras solicitações de </w:t>
      </w:r>
      <w:r w:rsidRPr="00667835">
        <w:rPr>
          <w:rFonts w:ascii="Arial" w:eastAsia="Times New Roman" w:hAnsi="Arial" w:cs="Arial"/>
          <w:color w:val="000000"/>
          <w:sz w:val="24"/>
          <w:szCs w:val="24"/>
          <w:bdr w:val="none" w:sz="0" w:space="0" w:color="auto" w:frame="1"/>
          <w:lang w:eastAsia="pt-BR"/>
        </w:rPr>
        <w:lastRenderedPageBreak/>
        <w:t>créditos adicionais que não impliquem aumento das despesas discriminadas no Anexo I.</w:t>
      </w:r>
    </w:p>
    <w:p w:rsidR="00B77456" w:rsidRPr="00667835" w:rsidRDefault="00B77456" w:rsidP="00667835">
      <w:pPr>
        <w:spacing w:after="0" w:line="240" w:lineRule="auto"/>
        <w:ind w:firstLine="1418"/>
        <w:jc w:val="both"/>
        <w:rPr>
          <w:rFonts w:ascii="Arial" w:eastAsia="Times New Roman" w:hAnsi="Arial" w:cs="Arial"/>
          <w:color w:val="000000"/>
          <w:sz w:val="18"/>
          <w:szCs w:val="18"/>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CAPÍTULO III</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DOS CONVÊNIOS E DAS OPERAÇÕES DE CRÉDITO</w:t>
      </w:r>
    </w:p>
    <w:p w:rsidR="00667835" w:rsidRDefault="00667835"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color w:val="000000"/>
          <w:sz w:val="24"/>
          <w:szCs w:val="24"/>
          <w:bdr w:val="none" w:sz="0" w:space="0" w:color="auto" w:frame="1"/>
          <w:lang w:eastAsia="pt-BR"/>
        </w:rPr>
        <w:t>Seção I</w:t>
      </w:r>
    </w:p>
    <w:p w:rsidR="00B77456" w:rsidRPr="00667835" w:rsidRDefault="00B77456" w:rsidP="00667835">
      <w:pPr>
        <w:spacing w:after="0" w:line="240" w:lineRule="auto"/>
        <w:ind w:firstLine="1418"/>
        <w:jc w:val="both"/>
        <w:rPr>
          <w:rFonts w:ascii="Arial" w:eastAsia="Times New Roman" w:hAnsi="Arial" w:cs="Arial"/>
          <w:color w:val="000000"/>
          <w:sz w:val="18"/>
          <w:szCs w:val="18"/>
          <w:lang w:eastAsia="pt-BR"/>
        </w:rPr>
      </w:pPr>
    </w:p>
    <w:p w:rsidR="00667835" w:rsidRDefault="00667835"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color w:val="000000"/>
          <w:sz w:val="24"/>
          <w:szCs w:val="24"/>
          <w:bdr w:val="none" w:sz="0" w:space="0" w:color="auto" w:frame="1"/>
          <w:lang w:eastAsia="pt-BR"/>
        </w:rPr>
        <w:t xml:space="preserve">Do acompanhamento dos convênios e portarias de entrada de recursos, instrumentos congêneres e operações de </w:t>
      </w:r>
      <w:proofErr w:type="gramStart"/>
      <w:r w:rsidRPr="00667835">
        <w:rPr>
          <w:rFonts w:ascii="Arial" w:eastAsia="Times New Roman" w:hAnsi="Arial" w:cs="Arial"/>
          <w:color w:val="000000"/>
          <w:sz w:val="24"/>
          <w:szCs w:val="24"/>
          <w:bdr w:val="none" w:sz="0" w:space="0" w:color="auto" w:frame="1"/>
          <w:lang w:eastAsia="pt-BR"/>
        </w:rPr>
        <w:t>crédito</w:t>
      </w:r>
      <w:proofErr w:type="gramEnd"/>
    </w:p>
    <w:p w:rsidR="00B77456" w:rsidRPr="00667835" w:rsidRDefault="00B77456" w:rsidP="00667835">
      <w:pPr>
        <w:spacing w:after="0" w:line="240" w:lineRule="auto"/>
        <w:ind w:firstLine="1418"/>
        <w:jc w:val="both"/>
        <w:rPr>
          <w:rFonts w:ascii="Arial" w:eastAsia="Times New Roman" w:hAnsi="Arial" w:cs="Arial"/>
          <w:color w:val="000000"/>
          <w:sz w:val="18"/>
          <w:szCs w:val="18"/>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17 – A SCPPO-</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a </w:t>
      </w:r>
      <w:proofErr w:type="spellStart"/>
      <w:r w:rsidRPr="00667835">
        <w:rPr>
          <w:rFonts w:ascii="Arial" w:eastAsia="Times New Roman" w:hAnsi="Arial" w:cs="Arial"/>
          <w:color w:val="000000"/>
          <w:sz w:val="24"/>
          <w:szCs w:val="24"/>
          <w:bdr w:val="none" w:sz="0" w:space="0" w:color="auto" w:frame="1"/>
          <w:lang w:eastAsia="pt-BR"/>
        </w:rPr>
        <w:t>Sciape-Seplag</w:t>
      </w:r>
      <w:proofErr w:type="spellEnd"/>
      <w:r w:rsidRPr="00667835">
        <w:rPr>
          <w:rFonts w:ascii="Arial" w:eastAsia="Times New Roman" w:hAnsi="Arial" w:cs="Arial"/>
          <w:color w:val="000000"/>
          <w:sz w:val="24"/>
          <w:szCs w:val="24"/>
          <w:bdr w:val="none" w:sz="0" w:space="0" w:color="auto" w:frame="1"/>
          <w:lang w:eastAsia="pt-BR"/>
        </w:rPr>
        <w:t xml:space="preserve"> e a Caie-</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acompanharão a execução orçamentária das intervenções financiadas com recursos oriundos de operações de crédito, havendo ou não contrapartida do Estado, com base nas reestimativas de entrada de recursos no Módulo de Programação Orçamentária do </w:t>
      </w:r>
      <w:proofErr w:type="spellStart"/>
      <w:proofErr w:type="gramStart"/>
      <w:r w:rsidRPr="00667835">
        <w:rPr>
          <w:rFonts w:ascii="Arial" w:eastAsia="Times New Roman" w:hAnsi="Arial" w:cs="Arial"/>
          <w:color w:val="000000"/>
          <w:sz w:val="24"/>
          <w:szCs w:val="24"/>
          <w:bdr w:val="none" w:sz="0" w:space="0" w:color="auto" w:frame="1"/>
          <w:lang w:eastAsia="pt-BR"/>
        </w:rPr>
        <w:t>Siafi-MG</w:t>
      </w:r>
      <w:proofErr w:type="spellEnd"/>
      <w:proofErr w:type="gramEnd"/>
      <w:r w:rsidRPr="00667835">
        <w:rPr>
          <w:rFonts w:ascii="Arial" w:eastAsia="Times New Roman" w:hAnsi="Arial" w:cs="Arial"/>
          <w:color w:val="000000"/>
          <w:sz w:val="24"/>
          <w:szCs w:val="24"/>
          <w:bdr w:val="none" w:sz="0" w:space="0" w:color="auto" w:frame="1"/>
          <w:lang w:eastAsia="pt-BR"/>
        </w:rPr>
        <w:t xml:space="preserve">, nas informações sobre execução disponíveis no </w:t>
      </w:r>
      <w:proofErr w:type="spellStart"/>
      <w:r w:rsidRPr="00667835">
        <w:rPr>
          <w:rFonts w:ascii="Arial" w:eastAsia="Times New Roman" w:hAnsi="Arial" w:cs="Arial"/>
          <w:color w:val="000000"/>
          <w:sz w:val="24"/>
          <w:szCs w:val="24"/>
          <w:bdr w:val="none" w:sz="0" w:space="0" w:color="auto" w:frame="1"/>
          <w:lang w:eastAsia="pt-BR"/>
        </w:rPr>
        <w:t>Siafi-MG</w:t>
      </w:r>
      <w:proofErr w:type="spellEnd"/>
      <w:r w:rsidRPr="00667835">
        <w:rPr>
          <w:rFonts w:ascii="Arial" w:eastAsia="Times New Roman" w:hAnsi="Arial" w:cs="Arial"/>
          <w:color w:val="000000"/>
          <w:sz w:val="24"/>
          <w:szCs w:val="24"/>
          <w:bdr w:val="none" w:sz="0" w:space="0" w:color="auto" w:frame="1"/>
          <w:lang w:eastAsia="pt-BR"/>
        </w:rPr>
        <w:t>, nos relatórios de acompanhamento das ações de acompanhamento intensivo e geral e na programação mensal realizada em reuniões periódicas, nos termos estabelecidos no inciso II do art. 5º e no art. 9º.</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1º – A execução financeira referente às intervenções financiadas com recursos originários de operações de crédito será acompanhada pela SEF.</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2º – As execuções física, orçamentária e financeira referentes às intervenções financiadas com recursos originários de operações de crédito serão de responsabilidade dos órgãos executores.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3º – A obtenção e a guarda dos documentos relativos à execução das intervenções financiadas com recursos originários de operações de crédito serão de responsabilidade dos órgãos executores.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4º – A Caie-</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poderá solicitar os documentos de que trata o § 3º sempre que necessário ou quando requisitados pelo ente financiador.</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18 – A DCGCE-</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acompanhará a execução orçamentária e financeira dos recursos oriundos de convênios ou instrumentos congêneres em que a administração pública estadual figure como proponente, havendo ou não contrapartida do Estado, independentemente da fonte de recurso, por meio das informações disponibilizadas pelos órgãos e entidades em sistemas governamentais, tal como o </w:t>
      </w:r>
      <w:proofErr w:type="spellStart"/>
      <w:proofErr w:type="gramStart"/>
      <w:r w:rsidRPr="00667835">
        <w:rPr>
          <w:rFonts w:ascii="Arial" w:eastAsia="Times New Roman" w:hAnsi="Arial" w:cs="Arial"/>
          <w:color w:val="000000"/>
          <w:sz w:val="24"/>
          <w:szCs w:val="24"/>
          <w:bdr w:val="none" w:sz="0" w:space="0" w:color="auto" w:frame="1"/>
          <w:lang w:eastAsia="pt-BR"/>
        </w:rPr>
        <w:t>Siafi-MG</w:t>
      </w:r>
      <w:proofErr w:type="spellEnd"/>
      <w:proofErr w:type="gramEnd"/>
      <w:r w:rsidRPr="00667835">
        <w:rPr>
          <w:rFonts w:ascii="Arial" w:eastAsia="Times New Roman" w:hAnsi="Arial" w:cs="Arial"/>
          <w:color w:val="000000"/>
          <w:sz w:val="24"/>
          <w:szCs w:val="24"/>
          <w:bdr w:val="none" w:sz="0" w:space="0" w:color="auto" w:frame="1"/>
          <w:lang w:eastAsia="pt-BR"/>
        </w:rPr>
        <w:t>, bem como das informações concernentes à execução física, a serem disponibilizadas pelos órgãos e entidades por meio do monitoramento dos instrumentos de repasse.</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1º – A execução financeira referente às despesas financiadas com recursos oriundos de convênios ou instrumentos congêneres também será acompanhada pela SEF.</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 2º – As execuções física, orçamentária e financeira referentes às despesas financiadas com recursos oriundos de convênios ou instrumentos congêneres serão de responsabilidade dos órgãos executores com o apoio da DCGCE- </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w:t>
      </w:r>
    </w:p>
    <w:p w:rsidR="00B77456" w:rsidRDefault="00B77456"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Seção II</w:t>
      </w:r>
    </w:p>
    <w:p w:rsidR="00667835" w:rsidRDefault="00667835"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color w:val="000000"/>
          <w:sz w:val="24"/>
          <w:szCs w:val="24"/>
          <w:bdr w:val="none" w:sz="0" w:space="0" w:color="auto" w:frame="1"/>
          <w:lang w:eastAsia="pt-BR"/>
        </w:rPr>
        <w:t xml:space="preserve">Das contrapartidas a convênios e portarias de entrada de recursos, instrumentos congêneres e operações de </w:t>
      </w:r>
      <w:proofErr w:type="gramStart"/>
      <w:r w:rsidRPr="00667835">
        <w:rPr>
          <w:rFonts w:ascii="Arial" w:eastAsia="Times New Roman" w:hAnsi="Arial" w:cs="Arial"/>
          <w:color w:val="000000"/>
          <w:sz w:val="24"/>
          <w:szCs w:val="24"/>
          <w:bdr w:val="none" w:sz="0" w:space="0" w:color="auto" w:frame="1"/>
          <w:lang w:eastAsia="pt-BR"/>
        </w:rPr>
        <w:t>crédito</w:t>
      </w:r>
      <w:proofErr w:type="gramEnd"/>
    </w:p>
    <w:p w:rsidR="00B77456" w:rsidRPr="00667835" w:rsidRDefault="00B77456" w:rsidP="00667835">
      <w:pPr>
        <w:spacing w:after="0" w:line="240" w:lineRule="auto"/>
        <w:ind w:firstLine="1418"/>
        <w:jc w:val="both"/>
        <w:rPr>
          <w:rFonts w:ascii="Arial" w:eastAsia="Times New Roman" w:hAnsi="Arial" w:cs="Arial"/>
          <w:color w:val="000000"/>
          <w:sz w:val="18"/>
          <w:szCs w:val="18"/>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Art. 19 – As propostas de novos instrumentos de transferências voluntárias de recursos da União ou </w:t>
      </w:r>
      <w:proofErr w:type="spellStart"/>
      <w:r w:rsidRPr="00667835">
        <w:rPr>
          <w:rFonts w:ascii="Arial" w:eastAsia="Times New Roman" w:hAnsi="Arial" w:cs="Arial"/>
          <w:color w:val="000000"/>
          <w:sz w:val="24"/>
          <w:szCs w:val="24"/>
          <w:bdr w:val="none" w:sz="0" w:space="0" w:color="auto" w:frame="1"/>
          <w:lang w:eastAsia="pt-BR"/>
        </w:rPr>
        <w:t>deaditivos</w:t>
      </w:r>
      <w:proofErr w:type="spellEnd"/>
      <w:r w:rsidRPr="00667835">
        <w:rPr>
          <w:rFonts w:ascii="Arial" w:eastAsia="Times New Roman" w:hAnsi="Arial" w:cs="Arial"/>
          <w:color w:val="000000"/>
          <w:sz w:val="24"/>
          <w:szCs w:val="24"/>
          <w:bdr w:val="none" w:sz="0" w:space="0" w:color="auto" w:frame="1"/>
          <w:lang w:eastAsia="pt-BR"/>
        </w:rPr>
        <w:t xml:space="preserve">, registrados no Sistema de </w:t>
      </w:r>
      <w:r w:rsidRPr="00667835">
        <w:rPr>
          <w:rFonts w:ascii="Arial" w:eastAsia="Times New Roman" w:hAnsi="Arial" w:cs="Arial"/>
          <w:color w:val="000000"/>
          <w:sz w:val="24"/>
          <w:szCs w:val="24"/>
          <w:bdr w:val="none" w:sz="0" w:space="0" w:color="auto" w:frame="1"/>
          <w:lang w:eastAsia="pt-BR"/>
        </w:rPr>
        <w:lastRenderedPageBreak/>
        <w:t xml:space="preserve">Gestão de Convênios e Contratos de Repasse – </w:t>
      </w:r>
      <w:proofErr w:type="spellStart"/>
      <w:r w:rsidRPr="00667835">
        <w:rPr>
          <w:rFonts w:ascii="Arial" w:eastAsia="Times New Roman" w:hAnsi="Arial" w:cs="Arial"/>
          <w:color w:val="000000"/>
          <w:sz w:val="24"/>
          <w:szCs w:val="24"/>
          <w:bdr w:val="none" w:sz="0" w:space="0" w:color="auto" w:frame="1"/>
          <w:lang w:eastAsia="pt-BR"/>
        </w:rPr>
        <w:t>Siconv</w:t>
      </w:r>
      <w:proofErr w:type="spellEnd"/>
      <w:r w:rsidRPr="00667835">
        <w:rPr>
          <w:rFonts w:ascii="Arial" w:eastAsia="Times New Roman" w:hAnsi="Arial" w:cs="Arial"/>
          <w:color w:val="000000"/>
          <w:sz w:val="24"/>
          <w:szCs w:val="24"/>
          <w:bdr w:val="none" w:sz="0" w:space="0" w:color="auto" w:frame="1"/>
          <w:lang w:eastAsia="pt-BR"/>
        </w:rPr>
        <w:t xml:space="preserve"> –, deverão ser previamente analisadas pela SCCG-</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com a finalidade de pré-qualificação para posterior deliberação da COF quanto a sua assinatura.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1º – Os aditivos de que trata o </w:t>
      </w:r>
      <w:r w:rsidRPr="00667835">
        <w:rPr>
          <w:rFonts w:ascii="Arial" w:eastAsia="Times New Roman" w:hAnsi="Arial" w:cs="Arial"/>
          <w:i/>
          <w:iCs/>
          <w:color w:val="000000"/>
          <w:sz w:val="24"/>
          <w:szCs w:val="24"/>
          <w:bdr w:val="none" w:sz="0" w:space="0" w:color="auto" w:frame="1"/>
          <w:lang w:eastAsia="pt-BR"/>
        </w:rPr>
        <w:t>caput</w:t>
      </w:r>
      <w:r w:rsidRPr="00667835">
        <w:rPr>
          <w:rFonts w:ascii="Arial" w:eastAsia="Times New Roman" w:hAnsi="Arial" w:cs="Arial"/>
          <w:color w:val="000000"/>
          <w:sz w:val="24"/>
          <w:szCs w:val="24"/>
          <w:bdr w:val="none" w:sz="0" w:space="0" w:color="auto" w:frame="1"/>
          <w:lang w:eastAsia="pt-BR"/>
        </w:rPr>
        <w:t> referem-se a alterações de escopo, metas e valores de partida e contrapartida.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2º – Os órgãos e entidades do Poder Executivo que pretendam assinar ou aditar os instrumentos de que trata este artigo deverão encaminhar ofício do dirigente máximo à presidência da COF, submetendo a sua assinatura à decisão dessa instância.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3º – É requisito para o início do processo de pré-qualificação de que trata o </w:t>
      </w:r>
      <w:r w:rsidRPr="00667835">
        <w:rPr>
          <w:rFonts w:ascii="Arial" w:eastAsia="Times New Roman" w:hAnsi="Arial" w:cs="Arial"/>
          <w:i/>
          <w:iCs/>
          <w:color w:val="000000"/>
          <w:sz w:val="24"/>
          <w:szCs w:val="24"/>
          <w:bdr w:val="none" w:sz="0" w:space="0" w:color="auto" w:frame="1"/>
          <w:lang w:eastAsia="pt-BR"/>
        </w:rPr>
        <w:t>caput</w:t>
      </w:r>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 – a apresentação do ofício previsto no § 2º;</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II – o cadastro prévio da proposta pelo proponente no </w:t>
      </w:r>
      <w:proofErr w:type="spellStart"/>
      <w:r w:rsidRPr="00667835">
        <w:rPr>
          <w:rFonts w:ascii="Arial" w:eastAsia="Times New Roman" w:hAnsi="Arial" w:cs="Arial"/>
          <w:color w:val="000000"/>
          <w:sz w:val="24"/>
          <w:szCs w:val="24"/>
          <w:bdr w:val="none" w:sz="0" w:space="0" w:color="auto" w:frame="1"/>
          <w:lang w:eastAsia="pt-BR"/>
        </w:rPr>
        <w:t>Siconv</w:t>
      </w:r>
      <w:proofErr w:type="spellEnd"/>
      <w:r w:rsidRPr="00667835">
        <w:rPr>
          <w:rFonts w:ascii="Arial" w:eastAsia="Times New Roman" w:hAnsi="Arial" w:cs="Arial"/>
          <w:color w:val="000000"/>
          <w:sz w:val="24"/>
          <w:szCs w:val="24"/>
          <w:bdr w:val="none" w:sz="0" w:space="0" w:color="auto" w:frame="1"/>
          <w:lang w:eastAsia="pt-BR"/>
        </w:rPr>
        <w:t xml:space="preserve"> do Governo Federal;</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III – o preenchimento e envio de questionário de pré-qualificação disponibilizado pela SCCG-</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por meio do SEI, em até cinco dias úteis após o cadastro no SICONV.</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4º – O processo de pré-qualificação será realizado obrigatoriamente antes da assinatura dos instrumentos de que trata este artigo e, quando houver declaração de contrapartida, antes de sua emissão.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 5º – Na hipótese de descumprimento do previsto no § 4º, </w:t>
      </w:r>
      <w:proofErr w:type="gramStart"/>
      <w:r w:rsidRPr="00667835">
        <w:rPr>
          <w:rFonts w:ascii="Arial" w:eastAsia="Times New Roman" w:hAnsi="Arial" w:cs="Arial"/>
          <w:color w:val="000000"/>
          <w:sz w:val="24"/>
          <w:szCs w:val="24"/>
          <w:bdr w:val="none" w:sz="0" w:space="0" w:color="auto" w:frame="1"/>
          <w:lang w:eastAsia="pt-BR"/>
        </w:rPr>
        <w:t>a análise de pedidos de suplementação e de cotas orçamentárias do respectivo instrumento ficam</w:t>
      </w:r>
      <w:proofErr w:type="gramEnd"/>
      <w:r w:rsidRPr="00667835">
        <w:rPr>
          <w:rFonts w:ascii="Arial" w:eastAsia="Times New Roman" w:hAnsi="Arial" w:cs="Arial"/>
          <w:color w:val="000000"/>
          <w:sz w:val="24"/>
          <w:szCs w:val="24"/>
          <w:bdr w:val="none" w:sz="0" w:space="0" w:color="auto" w:frame="1"/>
          <w:lang w:eastAsia="pt-BR"/>
        </w:rPr>
        <w:t xml:space="preserve"> suspensas até a realização de sua pré-qualificação.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6º – A SCCG-</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poderá, conforme pertinência, dispensar os instrumentos de que trata este artigo do processo de pré-qualificação, não os eximindo da deliberação da COF.</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20 – As solicitações de Declaração de Contrapartida para a celebração de convênios, e seus respectivos termos aditivos, portarias de entrada de recursos ou instrumentos congêneres de transferências de recursos financeiros deverão ser registradas no SEI ou em sistema correlato, conforme orientação da DCGCE-</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pela Superintendência de Planejamento, Gestão e Finanças ou unidade equivalente da entidade proponente.</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1º – As solicitações de Declaração de Contrapartida atinentes aos programas governamentais serão analisadas pela SCCG-</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xml:space="preserve"> e em conjunto com a </w:t>
      </w:r>
      <w:proofErr w:type="spellStart"/>
      <w:r w:rsidRPr="00667835">
        <w:rPr>
          <w:rFonts w:ascii="Arial" w:eastAsia="Times New Roman" w:hAnsi="Arial" w:cs="Arial"/>
          <w:color w:val="000000"/>
          <w:sz w:val="24"/>
          <w:szCs w:val="24"/>
          <w:bdr w:val="none" w:sz="0" w:space="0" w:color="auto" w:frame="1"/>
          <w:lang w:eastAsia="pt-BR"/>
        </w:rPr>
        <w:t>Sciape-Seplag</w:t>
      </w:r>
      <w:proofErr w:type="spellEnd"/>
      <w:r w:rsidRPr="00667835">
        <w:rPr>
          <w:rFonts w:ascii="Arial" w:eastAsia="Times New Roman" w:hAnsi="Arial" w:cs="Arial"/>
          <w:color w:val="000000"/>
          <w:sz w:val="24"/>
          <w:szCs w:val="24"/>
          <w:bdr w:val="none" w:sz="0" w:space="0" w:color="auto" w:frame="1"/>
          <w:lang w:eastAsia="pt-BR"/>
        </w:rPr>
        <w:t>, quando se tratar de ações de acompanhamento intensivo.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2º – A Declaração de Contrapartida terá validade apenas para a celebração do convênio no exercício para o qual foi emitida.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21 – Os recursos para contrapartida a operações de crédito e convênios de entrada ou instrumentos congêneres serão aportados no orçamento dos órgãos e entidades executores das seguintes formas: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 – anulação dos créditos específicos consignados na unidade orçamentária EGE-</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 – remanejamento de dotações já consignadas no orçamento dos órgãos e entidades;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III – suplementação por superávit financeiro do saldo dos recursos de contrapartida disponíveis para novos empenhos presentes nas contas correntes específicas das operações de crédito e convênios, portarias de entrada de recursos ou instrumentos congêneres;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lastRenderedPageBreak/>
        <w:t>IV – suplementação por excesso de arrecadação, referente aos rendimentos de aplicação financeira no exercício corrente, dos recursos de contrapartida depositados nas contas correntes específicas das operações de crédito e convênios, portarias de entrada de recursos ou instrumentos congêneres de fontes que não transitam no Tesouro Estadual.</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1º – Os recursos de contrapartida consignados no EGE-</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conforme disponibilidade orçamentária e financeira</w:t>
      </w:r>
      <w:proofErr w:type="gramStart"/>
      <w:r w:rsidRPr="00667835">
        <w:rPr>
          <w:rFonts w:ascii="Arial" w:eastAsia="Times New Roman" w:hAnsi="Arial" w:cs="Arial"/>
          <w:color w:val="000000"/>
          <w:sz w:val="24"/>
          <w:szCs w:val="24"/>
          <w:bdr w:val="none" w:sz="0" w:space="0" w:color="auto" w:frame="1"/>
          <w:lang w:eastAsia="pt-BR"/>
        </w:rPr>
        <w:t>, farão</w:t>
      </w:r>
      <w:proofErr w:type="gramEnd"/>
      <w:r w:rsidRPr="00667835">
        <w:rPr>
          <w:rFonts w:ascii="Arial" w:eastAsia="Times New Roman" w:hAnsi="Arial" w:cs="Arial"/>
          <w:color w:val="000000"/>
          <w:sz w:val="24"/>
          <w:szCs w:val="24"/>
          <w:bdr w:val="none" w:sz="0" w:space="0" w:color="auto" w:frame="1"/>
          <w:lang w:eastAsia="pt-BR"/>
        </w:rPr>
        <w:t xml:space="preserve"> face aos convênios, portarias de entrada de recursos e outros instrumentos congêneres com execução previstas no exercício de 2018.</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2º – Os convênios, portarias de entrada de recursos e instrumentos congêneres que não puderem ser atendidos com os recursos previstos nos termos do § 1º deverão ter os recursos de contrapartida remanejados das dotações orçamentárias consignadas no orçamento do próprio órgão ou entidade.</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3º – A COF poderá autorizar o aporte de recursos para a contrapartida aos instrumentos citados no </w:t>
      </w:r>
      <w:r w:rsidRPr="00667835">
        <w:rPr>
          <w:rFonts w:ascii="Arial" w:eastAsia="Times New Roman" w:hAnsi="Arial" w:cs="Arial"/>
          <w:i/>
          <w:iCs/>
          <w:color w:val="000000"/>
          <w:sz w:val="24"/>
          <w:szCs w:val="24"/>
          <w:bdr w:val="none" w:sz="0" w:space="0" w:color="auto" w:frame="1"/>
          <w:lang w:eastAsia="pt-BR"/>
        </w:rPr>
        <w:t>caput</w:t>
      </w:r>
      <w:r w:rsidRPr="00667835">
        <w:rPr>
          <w:rFonts w:ascii="Arial" w:eastAsia="Times New Roman" w:hAnsi="Arial" w:cs="Arial"/>
          <w:color w:val="000000"/>
          <w:sz w:val="24"/>
          <w:szCs w:val="24"/>
          <w:bdr w:val="none" w:sz="0" w:space="0" w:color="auto" w:frame="1"/>
          <w:lang w:eastAsia="pt-BR"/>
        </w:rPr>
        <w:t>, mediante análise de pedido circunstanciado enviado pelo órgão ou entidade no qual esteja demonstrada a impossibilidade do remanejamento de que trata o § 2º.</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22 – Todas as declarações de contrapartida a convênios e portarias de entrada de recursos e instrumentos congêneres de transferência financeira deverão ser assinadas, exclusivamente, pelo Presidente da COF, após análise da SCCG-</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Parágrafo único – As declarações de contrapartida a operações de crédito deverão ser assinadas, exclusivamente, pelo Governador, após análise da Caie-</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em conjunto com a SCGOV-SEF.</w:t>
      </w:r>
    </w:p>
    <w:p w:rsidR="000520E3" w:rsidRDefault="000520E3"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CAPÍTULO IV</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DAS AQUISIÇÕES, CONTRATAÇÕES E QUALIDADE DO </w:t>
      </w:r>
      <w:proofErr w:type="gramStart"/>
      <w:r w:rsidRPr="00667835">
        <w:rPr>
          <w:rFonts w:ascii="Arial" w:eastAsia="Times New Roman" w:hAnsi="Arial" w:cs="Arial"/>
          <w:color w:val="000000"/>
          <w:sz w:val="24"/>
          <w:szCs w:val="24"/>
          <w:bdr w:val="none" w:sz="0" w:space="0" w:color="auto" w:frame="1"/>
          <w:lang w:eastAsia="pt-BR"/>
        </w:rPr>
        <w:t>GASTO</w:t>
      </w:r>
      <w:proofErr w:type="gramEnd"/>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Art. 23 – A </w:t>
      </w:r>
      <w:proofErr w:type="spellStart"/>
      <w:r w:rsidRPr="00667835">
        <w:rPr>
          <w:rFonts w:ascii="Arial" w:eastAsia="Times New Roman" w:hAnsi="Arial" w:cs="Arial"/>
          <w:color w:val="000000"/>
          <w:sz w:val="24"/>
          <w:szCs w:val="24"/>
          <w:bdr w:val="none" w:sz="0" w:space="0" w:color="auto" w:frame="1"/>
          <w:lang w:eastAsia="pt-BR"/>
        </w:rPr>
        <w:t>Seplag</w:t>
      </w:r>
      <w:proofErr w:type="spellEnd"/>
      <w:r w:rsidRPr="00667835">
        <w:rPr>
          <w:rFonts w:ascii="Arial" w:eastAsia="Times New Roman" w:hAnsi="Arial" w:cs="Arial"/>
          <w:color w:val="000000"/>
          <w:sz w:val="24"/>
          <w:szCs w:val="24"/>
          <w:bdr w:val="none" w:sz="0" w:space="0" w:color="auto" w:frame="1"/>
          <w:lang w:eastAsia="pt-BR"/>
        </w:rPr>
        <w:t>, nos termos do </w:t>
      </w:r>
      <w:hyperlink r:id="rId12" w:history="1">
        <w:r w:rsidRPr="00667835">
          <w:rPr>
            <w:rFonts w:ascii="Arial" w:eastAsia="Times New Roman" w:hAnsi="Arial" w:cs="Arial"/>
            <w:color w:val="CC0000"/>
            <w:sz w:val="24"/>
            <w:szCs w:val="24"/>
            <w:bdr w:val="none" w:sz="0" w:space="0" w:color="auto" w:frame="1"/>
            <w:lang w:eastAsia="pt-BR"/>
          </w:rPr>
          <w:t>Decreto nº 47.337, de 12 de janeiro de 2018</w:t>
        </w:r>
      </w:hyperlink>
      <w:r w:rsidRPr="00667835">
        <w:rPr>
          <w:rFonts w:ascii="Arial" w:eastAsia="Times New Roman" w:hAnsi="Arial" w:cs="Arial"/>
          <w:color w:val="000000"/>
          <w:sz w:val="24"/>
          <w:szCs w:val="24"/>
          <w:bdr w:val="none" w:sz="0" w:space="0" w:color="auto" w:frame="1"/>
          <w:lang w:eastAsia="pt-BR"/>
        </w:rPr>
        <w:t>, adotará medidas visando a ampliar a qualidade e a produtividade do gasto setorial com despesas de área meio e investimentos, com ênfase na melhoria da composição estratégica do gasto e consequente aumento de aderência do orçamento à estratégia de desenvolvimento do Estado.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Seção Única</w:t>
      </w:r>
    </w:p>
    <w:p w:rsidR="00667835" w:rsidRDefault="00667835"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color w:val="000000"/>
          <w:sz w:val="24"/>
          <w:szCs w:val="24"/>
          <w:bdr w:val="none" w:sz="0" w:space="0" w:color="auto" w:frame="1"/>
          <w:lang w:eastAsia="pt-BR"/>
        </w:rPr>
        <w:t>Das aquisições e contratações realizadas pela Subsecretaria de Operação e Gestão da Cidade Administrativa</w:t>
      </w:r>
    </w:p>
    <w:p w:rsidR="000520E3" w:rsidRPr="00667835" w:rsidRDefault="000520E3" w:rsidP="00667835">
      <w:pPr>
        <w:spacing w:after="0" w:line="240" w:lineRule="auto"/>
        <w:ind w:firstLine="1418"/>
        <w:jc w:val="both"/>
        <w:rPr>
          <w:rFonts w:ascii="Arial" w:eastAsia="Times New Roman" w:hAnsi="Arial" w:cs="Arial"/>
          <w:color w:val="000000"/>
          <w:sz w:val="18"/>
          <w:szCs w:val="18"/>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24 – Ficam vedadas a aquisição de materiais e a contratação de serviços que são fornecidos ou prestados exclusivamente pela Subsecretaria de Operação e Gestão da Cidade Administrativa para atendimento às demandas das unidades dos órgãos e entidades instaladas no complexo.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1º – Os materiais e serviços mencionados no </w:t>
      </w:r>
      <w:r w:rsidRPr="00667835">
        <w:rPr>
          <w:rFonts w:ascii="Arial" w:eastAsia="Times New Roman" w:hAnsi="Arial" w:cs="Arial"/>
          <w:i/>
          <w:iCs/>
          <w:color w:val="000000"/>
          <w:sz w:val="24"/>
          <w:szCs w:val="24"/>
          <w:bdr w:val="none" w:sz="0" w:space="0" w:color="auto" w:frame="1"/>
          <w:lang w:eastAsia="pt-BR"/>
        </w:rPr>
        <w:t>caput</w:t>
      </w:r>
      <w:r w:rsidRPr="00667835">
        <w:rPr>
          <w:rFonts w:ascii="Arial" w:eastAsia="Times New Roman" w:hAnsi="Arial" w:cs="Arial"/>
          <w:color w:val="000000"/>
          <w:sz w:val="24"/>
          <w:szCs w:val="24"/>
          <w:bdr w:val="none" w:sz="0" w:space="0" w:color="auto" w:frame="1"/>
          <w:lang w:eastAsia="pt-BR"/>
        </w:rPr>
        <w:t> estão relacionados no capítulo relativo aos “Materiais e Serviços fornecidos pela Intendência”, do Manual de Normas, Procedimentos e Orientações – Cidade Administrativa, disponível no Portal CA.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lastRenderedPageBreak/>
        <w:t xml:space="preserve">§ 2º – Casos excepcionais deverão ser encaminhados </w:t>
      </w:r>
      <w:proofErr w:type="gramStart"/>
      <w:r w:rsidRPr="00667835">
        <w:rPr>
          <w:rFonts w:ascii="Arial" w:eastAsia="Times New Roman" w:hAnsi="Arial" w:cs="Arial"/>
          <w:color w:val="000000"/>
          <w:sz w:val="24"/>
          <w:szCs w:val="24"/>
          <w:bdr w:val="none" w:sz="0" w:space="0" w:color="auto" w:frame="1"/>
          <w:lang w:eastAsia="pt-BR"/>
        </w:rPr>
        <w:t>à</w:t>
      </w:r>
      <w:proofErr w:type="gramEnd"/>
      <w:r w:rsidRPr="00667835">
        <w:rPr>
          <w:rFonts w:ascii="Arial" w:eastAsia="Times New Roman" w:hAnsi="Arial" w:cs="Arial"/>
          <w:color w:val="000000"/>
          <w:sz w:val="24"/>
          <w:szCs w:val="24"/>
          <w:bdr w:val="none" w:sz="0" w:space="0" w:color="auto" w:frame="1"/>
          <w:lang w:eastAsia="pt-BR"/>
        </w:rPr>
        <w:t xml:space="preserve"> Subsecretaria de Operação e Gestão da Cidade Administrativa, por meio de formulário próprio disponibilizado no Portal CA, devendo ser anexados: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 – documento assinado pelo Chefe de Gabinete do órgão ou entidade solicitante, com justificativa fundamentada para a aquisição ou contratação;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II – declaração do ordenador de despesa da existência de disponibilidade orçamentária e financeira.</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3º – A Subsecretaria de Operação e Gestão da Cidade Administrativa responderá às solicitações no Portal CA no prazo máximo de cinco dias úteis.</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25 – A análise da Subsecretaria de Operação e Gestão da Cidade Administrativa fica restrita ao mérito da contratação ou aquisição, sendo de responsabilidade do ordenador de despesas do órgão ou entidade a análise da disponibilidade orçamentária e financeira e conformidade processual, incluindo a avaliação quanto à modalidade de licitação aplicável.</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Parágrafo único – A emissão de parecer favorável pela Subsecretaria, relativo às disposições contidas no art. 24, não implica na concessão de crédito orçamentário adicional ou autorização para a liberação de cotas orçamentárias de forma distinta à estabelecida por este decreto.</w:t>
      </w:r>
    </w:p>
    <w:p w:rsidR="000520E3" w:rsidRDefault="000520E3"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CAPÍTULO V</w:t>
      </w:r>
    </w:p>
    <w:p w:rsidR="00667835" w:rsidRDefault="00667835" w:rsidP="00667835">
      <w:pPr>
        <w:spacing w:after="0" w:line="240" w:lineRule="auto"/>
        <w:ind w:firstLine="1418"/>
        <w:jc w:val="both"/>
        <w:rPr>
          <w:rFonts w:ascii="Arial" w:eastAsia="Times New Roman" w:hAnsi="Arial" w:cs="Arial"/>
          <w:color w:val="000000"/>
          <w:sz w:val="24"/>
          <w:szCs w:val="24"/>
          <w:bdr w:val="none" w:sz="0" w:space="0" w:color="auto" w:frame="1"/>
          <w:lang w:eastAsia="pt-BR"/>
        </w:rPr>
      </w:pPr>
      <w:r w:rsidRPr="00667835">
        <w:rPr>
          <w:rFonts w:ascii="Arial" w:eastAsia="Times New Roman" w:hAnsi="Arial" w:cs="Arial"/>
          <w:color w:val="000000"/>
          <w:sz w:val="24"/>
          <w:szCs w:val="24"/>
          <w:bdr w:val="none" w:sz="0" w:space="0" w:color="auto" w:frame="1"/>
          <w:lang w:eastAsia="pt-BR"/>
        </w:rPr>
        <w:t>DISPOSIÇÕES FINAIS</w:t>
      </w:r>
    </w:p>
    <w:p w:rsidR="000520E3" w:rsidRPr="00667835" w:rsidRDefault="000520E3" w:rsidP="00667835">
      <w:pPr>
        <w:spacing w:after="0" w:line="240" w:lineRule="auto"/>
        <w:ind w:firstLine="1418"/>
        <w:jc w:val="both"/>
        <w:rPr>
          <w:rFonts w:ascii="Arial" w:eastAsia="Times New Roman" w:hAnsi="Arial" w:cs="Arial"/>
          <w:color w:val="000000"/>
          <w:sz w:val="18"/>
          <w:szCs w:val="18"/>
          <w:lang w:eastAsia="pt-BR"/>
        </w:rPr>
      </w:pPr>
      <w:bookmarkStart w:id="0" w:name="_GoBack"/>
      <w:bookmarkEnd w:id="0"/>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Art. 26 – As Superintendências de Planejamento, Gestão e Finanças e unidades equivalentes são </w:t>
      </w:r>
      <w:proofErr w:type="gramStart"/>
      <w:r w:rsidRPr="00667835">
        <w:rPr>
          <w:rFonts w:ascii="Arial" w:eastAsia="Times New Roman" w:hAnsi="Arial" w:cs="Arial"/>
          <w:color w:val="000000"/>
          <w:sz w:val="24"/>
          <w:szCs w:val="24"/>
          <w:bdr w:val="none" w:sz="0" w:space="0" w:color="auto" w:frame="1"/>
          <w:lang w:eastAsia="pt-BR"/>
        </w:rPr>
        <w:t>responsáveis pela correta aplicação</w:t>
      </w:r>
      <w:proofErr w:type="gramEnd"/>
      <w:r w:rsidRPr="00667835">
        <w:rPr>
          <w:rFonts w:ascii="Arial" w:eastAsia="Times New Roman" w:hAnsi="Arial" w:cs="Arial"/>
          <w:color w:val="000000"/>
          <w:sz w:val="24"/>
          <w:szCs w:val="24"/>
          <w:bdr w:val="none" w:sz="0" w:space="0" w:color="auto" w:frame="1"/>
          <w:lang w:eastAsia="pt-BR"/>
        </w:rPr>
        <w:t xml:space="preserve"> das disposições contidas neste decreto.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27 – Cabe à Controladoria-Geral do Estado e à SEF, por meio da Subsecretaria do Tesouro Estadual, zelar pelo cumprimento do disposto neste decreto, bem como promover as medidas necessárias para a responsabilização de dirigentes e servidores que praticarem atos em desacordo com as disposições legais aplicáveis à matéria, especialmente da Lei Federal nº 4.320, de 1964, Lei Complementar Federal nº 101, de 2000, e da </w:t>
      </w:r>
      <w:hyperlink r:id="rId13" w:history="1">
        <w:r w:rsidRPr="00667835">
          <w:rPr>
            <w:rFonts w:ascii="Arial" w:eastAsia="Times New Roman" w:hAnsi="Arial" w:cs="Arial"/>
            <w:color w:val="CC0000"/>
            <w:sz w:val="24"/>
            <w:szCs w:val="24"/>
            <w:bdr w:val="none" w:sz="0" w:space="0" w:color="auto" w:frame="1"/>
            <w:lang w:eastAsia="pt-BR"/>
          </w:rPr>
          <w:t>Lei nº 22.626, de 2017</w:t>
        </w:r>
      </w:hyperlink>
      <w:r w:rsidRPr="00667835">
        <w:rPr>
          <w:rFonts w:ascii="Arial" w:eastAsia="Times New Roman" w:hAnsi="Arial" w:cs="Arial"/>
          <w:color w:val="000000"/>
          <w:sz w:val="24"/>
          <w:szCs w:val="24"/>
          <w:bdr w:val="none" w:sz="0" w:space="0" w:color="auto" w:frame="1"/>
          <w:lang w:eastAsia="pt-BR"/>
        </w:rPr>
        <w:t>.</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28 – A COF, no âmbito de suas atribuições, fica autorizada a editar normas complementares necessárias ao cumprimento deste decreto.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Art. 29 – As empresas estatais dependentes deverão integrar seus dados orçamentários e contábeis ao </w:t>
      </w:r>
      <w:proofErr w:type="spellStart"/>
      <w:proofErr w:type="gramStart"/>
      <w:r w:rsidRPr="00667835">
        <w:rPr>
          <w:rFonts w:ascii="Arial" w:eastAsia="Times New Roman" w:hAnsi="Arial" w:cs="Arial"/>
          <w:color w:val="000000"/>
          <w:sz w:val="24"/>
          <w:szCs w:val="24"/>
          <w:bdr w:val="none" w:sz="0" w:space="0" w:color="auto" w:frame="1"/>
          <w:lang w:eastAsia="pt-BR"/>
        </w:rPr>
        <w:t>Siafi-MG</w:t>
      </w:r>
      <w:proofErr w:type="spellEnd"/>
      <w:proofErr w:type="gramEnd"/>
      <w:r w:rsidRPr="00667835">
        <w:rPr>
          <w:rFonts w:ascii="Arial" w:eastAsia="Times New Roman" w:hAnsi="Arial" w:cs="Arial"/>
          <w:color w:val="000000"/>
          <w:sz w:val="24"/>
          <w:szCs w:val="24"/>
          <w:bdr w:val="none" w:sz="0" w:space="0" w:color="auto" w:frame="1"/>
          <w:lang w:eastAsia="pt-BR"/>
        </w:rPr>
        <w:t xml:space="preserve"> até o quinto dia útil ao mês subsequente da execução.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30 – Aplicam-se aos Poderes Legislativo e Judiciário, ao Ministério Público, à Defensoria Pública e ao Tribunal de Contas, no que couber e sem prejuízo de suas respectivas competências, as disposições deste decreto.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Art. 31 – Este decreto entra em vigor na data de sua publicação.</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Palácio Tiradentes, em Belo Horizonte, aos de fevereiro de 2018; 230º da Inconfidência Mineira e 197º da Independência do Brasil.</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FERNANDO DAMATA PIMENTEL</w:t>
      </w:r>
    </w:p>
    <w:p w:rsidR="00667835" w:rsidRPr="00667835" w:rsidRDefault="00667835" w:rsidP="00667835">
      <w:pPr>
        <w:spacing w:after="0" w:line="240" w:lineRule="auto"/>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ANEXOS I e II</w:t>
      </w:r>
    </w:p>
    <w:p w:rsidR="00667835" w:rsidRPr="00667835" w:rsidRDefault="00667835" w:rsidP="00667835">
      <w:pPr>
        <w:spacing w:after="0" w:line="240" w:lineRule="auto"/>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t xml:space="preserve">(a que se refere o § 1º do art. 1º do Decreto nº 47.371, de </w:t>
      </w:r>
      <w:proofErr w:type="gramStart"/>
      <w:r w:rsidRPr="00667835">
        <w:rPr>
          <w:rFonts w:ascii="Arial" w:eastAsia="Times New Roman" w:hAnsi="Arial" w:cs="Arial"/>
          <w:color w:val="000000"/>
          <w:sz w:val="24"/>
          <w:szCs w:val="24"/>
          <w:bdr w:val="none" w:sz="0" w:space="0" w:color="auto" w:frame="1"/>
          <w:lang w:eastAsia="pt-BR"/>
        </w:rPr>
        <w:t>9</w:t>
      </w:r>
      <w:proofErr w:type="gramEnd"/>
      <w:r w:rsidRPr="00667835">
        <w:rPr>
          <w:rFonts w:ascii="Arial" w:eastAsia="Times New Roman" w:hAnsi="Arial" w:cs="Arial"/>
          <w:color w:val="000000"/>
          <w:sz w:val="24"/>
          <w:szCs w:val="24"/>
          <w:bdr w:val="none" w:sz="0" w:space="0" w:color="auto" w:frame="1"/>
          <w:lang w:eastAsia="pt-BR"/>
        </w:rPr>
        <w:t xml:space="preserve"> de fevereiro de 2018)</w:t>
      </w:r>
    </w:p>
    <w:p w:rsidR="00667835" w:rsidRPr="00667835" w:rsidRDefault="00667835" w:rsidP="00667835">
      <w:pPr>
        <w:spacing w:after="0" w:line="240" w:lineRule="auto"/>
        <w:ind w:firstLine="1418"/>
        <w:jc w:val="both"/>
        <w:rPr>
          <w:rFonts w:ascii="Arial" w:eastAsia="Times New Roman" w:hAnsi="Arial" w:cs="Arial"/>
          <w:color w:val="000000"/>
          <w:sz w:val="18"/>
          <w:szCs w:val="18"/>
          <w:lang w:eastAsia="pt-BR"/>
        </w:rPr>
      </w:pPr>
      <w:r w:rsidRPr="00667835">
        <w:rPr>
          <w:rFonts w:ascii="Arial" w:eastAsia="Times New Roman" w:hAnsi="Arial" w:cs="Arial"/>
          <w:color w:val="000000"/>
          <w:sz w:val="24"/>
          <w:szCs w:val="24"/>
          <w:bdr w:val="none" w:sz="0" w:space="0" w:color="auto" w:frame="1"/>
          <w:lang w:eastAsia="pt-BR"/>
        </w:rPr>
        <w:lastRenderedPageBreak/>
        <w:t>Os Anexos I e II deste decreto estão disponíveis no site da Secretaria de Estado de Planejamento e Gestão (www.planejamento.mg.gov.br), em “Planejamento e Orçamento &gt; Lei Orçamentária Anual (LOA) &gt; Decreto de Programação Orçamentária”.</w:t>
      </w:r>
    </w:p>
    <w:p w:rsidR="00062D84" w:rsidRDefault="00062D84" w:rsidP="00667835">
      <w:pPr>
        <w:jc w:val="both"/>
      </w:pPr>
    </w:p>
    <w:sectPr w:rsidR="00062D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35"/>
    <w:rsid w:val="000520E3"/>
    <w:rsid w:val="00062D84"/>
    <w:rsid w:val="00643565"/>
    <w:rsid w:val="00667835"/>
    <w:rsid w:val="00667FAA"/>
    <w:rsid w:val="00B22642"/>
    <w:rsid w:val="00B774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6678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66783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667835"/>
    <w:rPr>
      <w:rFonts w:ascii="Times New Roman" w:eastAsia="Times New Roman" w:hAnsi="Times New Roman" w:cs="Times New Roman"/>
      <w:b/>
      <w:bCs/>
      <w:sz w:val="27"/>
      <w:szCs w:val="27"/>
      <w:lang w:eastAsia="pt-BR"/>
    </w:rPr>
  </w:style>
  <w:style w:type="paragraph" w:customStyle="1" w:styleId="western">
    <w:name w:val="western"/>
    <w:basedOn w:val="Normal"/>
    <w:rsid w:val="006678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67835"/>
    <w:rPr>
      <w:color w:val="0000FF"/>
      <w:u w:val="single"/>
    </w:rPr>
  </w:style>
  <w:style w:type="character" w:customStyle="1" w:styleId="jsinterpretarlinksremoved">
    <w:name w:val="js_interpretarlinksremoved"/>
    <w:basedOn w:val="Fontepargpadro"/>
    <w:rsid w:val="00667835"/>
  </w:style>
  <w:style w:type="character" w:customStyle="1" w:styleId="Ttulo2Char">
    <w:name w:val="Título 2 Char"/>
    <w:basedOn w:val="Fontepargpadro"/>
    <w:link w:val="Ttulo2"/>
    <w:uiPriority w:val="9"/>
    <w:semiHidden/>
    <w:rsid w:val="0066783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6678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har"/>
    <w:uiPriority w:val="9"/>
    <w:qFormat/>
    <w:rsid w:val="0066783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667835"/>
    <w:rPr>
      <w:rFonts w:ascii="Times New Roman" w:eastAsia="Times New Roman" w:hAnsi="Times New Roman" w:cs="Times New Roman"/>
      <w:b/>
      <w:bCs/>
      <w:sz w:val="27"/>
      <w:szCs w:val="27"/>
      <w:lang w:eastAsia="pt-BR"/>
    </w:rPr>
  </w:style>
  <w:style w:type="paragraph" w:customStyle="1" w:styleId="western">
    <w:name w:val="western"/>
    <w:basedOn w:val="Normal"/>
    <w:rsid w:val="0066783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67835"/>
    <w:rPr>
      <w:color w:val="0000FF"/>
      <w:u w:val="single"/>
    </w:rPr>
  </w:style>
  <w:style w:type="character" w:customStyle="1" w:styleId="jsinterpretarlinksremoved">
    <w:name w:val="js_interpretarlinksremoved"/>
    <w:basedOn w:val="Fontepargpadro"/>
    <w:rsid w:val="00667835"/>
  </w:style>
  <w:style w:type="character" w:customStyle="1" w:styleId="Ttulo2Char">
    <w:name w:val="Título 2 Char"/>
    <w:basedOn w:val="Fontepargpadro"/>
    <w:link w:val="Ttulo2"/>
    <w:uiPriority w:val="9"/>
    <w:semiHidden/>
    <w:rsid w:val="0066783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4759">
      <w:bodyDiv w:val="1"/>
      <w:marLeft w:val="0"/>
      <w:marRight w:val="0"/>
      <w:marTop w:val="0"/>
      <w:marBottom w:val="0"/>
      <w:divBdr>
        <w:top w:val="none" w:sz="0" w:space="0" w:color="auto"/>
        <w:left w:val="none" w:sz="0" w:space="0" w:color="auto"/>
        <w:bottom w:val="none" w:sz="0" w:space="0" w:color="auto"/>
        <w:right w:val="none" w:sz="0" w:space="0" w:color="auto"/>
      </w:divBdr>
    </w:div>
    <w:div w:id="912273489">
      <w:bodyDiv w:val="1"/>
      <w:marLeft w:val="0"/>
      <w:marRight w:val="0"/>
      <w:marTop w:val="0"/>
      <w:marBottom w:val="0"/>
      <w:divBdr>
        <w:top w:val="none" w:sz="0" w:space="0" w:color="auto"/>
        <w:left w:val="none" w:sz="0" w:space="0" w:color="auto"/>
        <w:bottom w:val="none" w:sz="0" w:space="0" w:color="auto"/>
        <w:right w:val="none" w:sz="0" w:space="0" w:color="auto"/>
      </w:divBdr>
    </w:div>
    <w:div w:id="1043864019">
      <w:bodyDiv w:val="1"/>
      <w:marLeft w:val="0"/>
      <w:marRight w:val="0"/>
      <w:marTop w:val="0"/>
      <w:marBottom w:val="0"/>
      <w:divBdr>
        <w:top w:val="none" w:sz="0" w:space="0" w:color="auto"/>
        <w:left w:val="none" w:sz="0" w:space="0" w:color="auto"/>
        <w:bottom w:val="none" w:sz="0" w:space="0" w:color="auto"/>
        <w:right w:val="none" w:sz="0" w:space="0" w:color="auto"/>
      </w:divBdr>
    </w:div>
    <w:div w:id="1485314204">
      <w:bodyDiv w:val="1"/>
      <w:marLeft w:val="0"/>
      <w:marRight w:val="0"/>
      <w:marTop w:val="0"/>
      <w:marBottom w:val="0"/>
      <w:divBdr>
        <w:top w:val="none" w:sz="0" w:space="0" w:color="auto"/>
        <w:left w:val="none" w:sz="0" w:space="0" w:color="auto"/>
        <w:bottom w:val="none" w:sz="0" w:space="0" w:color="auto"/>
        <w:right w:val="none" w:sz="0" w:space="0" w:color="auto"/>
      </w:divBdr>
      <w:divsChild>
        <w:div w:id="1437287564">
          <w:marLeft w:val="0"/>
          <w:marRight w:val="0"/>
          <w:marTop w:val="0"/>
          <w:marBottom w:val="0"/>
          <w:divBdr>
            <w:top w:val="none" w:sz="0" w:space="0" w:color="auto"/>
            <w:left w:val="none" w:sz="0" w:space="0" w:color="auto"/>
            <w:bottom w:val="none" w:sz="0" w:space="0" w:color="auto"/>
            <w:right w:val="none" w:sz="0" w:space="0" w:color="auto"/>
          </w:divBdr>
        </w:div>
      </w:divsChild>
    </w:div>
    <w:div w:id="20041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g.gov.br/consulte/legislacao/completa/completa.html?num=22943&amp;ano=2018&amp;tipo=LEI" TargetMode="External"/><Relationship Id="rId13" Type="http://schemas.openxmlformats.org/officeDocument/2006/relationships/hyperlink" Target="https://www.almg.gov.br/consulte/legislacao/completa/completa.html?num=22626&amp;ano=2017&amp;tipo=LEI" TargetMode="External"/><Relationship Id="rId3" Type="http://schemas.openxmlformats.org/officeDocument/2006/relationships/settings" Target="settings.xml"/><Relationship Id="rId7" Type="http://schemas.openxmlformats.org/officeDocument/2006/relationships/hyperlink" Target="https://www.almg.gov.br/consulte/legislacao/completa/completa.html?num=22943&amp;ano=2018&amp;tipo=LEI" TargetMode="External"/><Relationship Id="rId12" Type="http://schemas.openxmlformats.org/officeDocument/2006/relationships/hyperlink" Target="https://www.almg.gov.br/consulte/legislacao/completa/completa.html?num=47337&amp;ano=2018&amp;tipo=DE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lmg.gov.br/consulte/legislacao/completa/completa.html?num=22626&amp;ano=2017&amp;tipo=LEI" TargetMode="External"/><Relationship Id="rId11" Type="http://schemas.openxmlformats.org/officeDocument/2006/relationships/hyperlink" Target="https://www.almg.gov.br/consulte/legislacao/completa/completa.html?num=22943&amp;ano=2018&amp;tipo=LEI" TargetMode="External"/><Relationship Id="rId5" Type="http://schemas.openxmlformats.org/officeDocument/2006/relationships/hyperlink" Target="https://www.almg.gov.br/consulte/legislacao/index.html?aba=js_tabConstituicaoEstadual&amp;tipoPesquisa=constituicaoEstadual&amp;ceArtigo=90" TargetMode="External"/><Relationship Id="rId15" Type="http://schemas.openxmlformats.org/officeDocument/2006/relationships/theme" Target="theme/theme1.xml"/><Relationship Id="rId10" Type="http://schemas.openxmlformats.org/officeDocument/2006/relationships/hyperlink" Target="https://www.almg.gov.br/consulte/legislacao/completa/completa.html?num=22626&amp;ano=2017&amp;tipo=LEI" TargetMode="External"/><Relationship Id="rId4" Type="http://schemas.openxmlformats.org/officeDocument/2006/relationships/webSettings" Target="webSettings.xml"/><Relationship Id="rId9" Type="http://schemas.openxmlformats.org/officeDocument/2006/relationships/hyperlink" Target="https://www.almg.gov.br/consulte/legislacao/completa/completa.html?num=22626&amp;ano=2017&amp;tipo=LEI"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4602</Words>
  <Characters>24854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M1107690</dc:creator>
  <cp:lastModifiedBy>M1107690</cp:lastModifiedBy>
  <cp:revision>4</cp:revision>
  <dcterms:created xsi:type="dcterms:W3CDTF">2018-03-14T12:45:00Z</dcterms:created>
  <dcterms:modified xsi:type="dcterms:W3CDTF">2018-03-14T13:27:00Z</dcterms:modified>
</cp:coreProperties>
</file>