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37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"/>
        <w:gridCol w:w="679"/>
        <w:gridCol w:w="1118"/>
        <w:gridCol w:w="279"/>
        <w:gridCol w:w="1118"/>
        <w:gridCol w:w="819"/>
        <w:gridCol w:w="191"/>
        <w:gridCol w:w="659"/>
        <w:gridCol w:w="639"/>
        <w:gridCol w:w="579"/>
        <w:gridCol w:w="499"/>
        <w:gridCol w:w="1417"/>
        <w:gridCol w:w="400"/>
        <w:gridCol w:w="1377"/>
        <w:gridCol w:w="819"/>
        <w:gridCol w:w="659"/>
        <w:gridCol w:w="660"/>
        <w:gridCol w:w="419"/>
        <w:gridCol w:w="978"/>
        <w:gridCol w:w="1976"/>
      </w:tblGrid>
      <w:tr w:rsidR="00060163" w:rsidTr="00060163">
        <w:trPr>
          <w:trHeight w:val="315"/>
        </w:trPr>
        <w:tc>
          <w:tcPr>
            <w:tcW w:w="1553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0163" w:rsidRDefault="00AA6849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8715375</wp:posOffset>
                  </wp:positionH>
                  <wp:positionV relativeFrom="paragraph">
                    <wp:posOffset>47625</wp:posOffset>
                  </wp:positionV>
                  <wp:extent cx="1085850" cy="390525"/>
                  <wp:effectExtent l="19050" t="0" r="0" b="9525"/>
                  <wp:wrapNone/>
                  <wp:docPr id="2" name="Imagem 2" descr="t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390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439"/>
            </w:tblGrid>
            <w:tr w:rsidR="00060163">
              <w:trPr>
                <w:trHeight w:val="315"/>
                <w:tblCellSpacing w:w="0" w:type="dxa"/>
              </w:trPr>
              <w:tc>
                <w:tcPr>
                  <w:tcW w:w="15520" w:type="dxa"/>
                  <w:tcBorders>
                    <w:top w:val="nil"/>
                    <w:left w:val="single" w:sz="4" w:space="0" w:color="FFFFFF"/>
                    <w:bottom w:val="nil"/>
                    <w:right w:val="nil"/>
                  </w:tcBorders>
                  <w:shd w:val="clear" w:color="auto" w:fill="C9DBED"/>
                  <w:vAlign w:val="center"/>
                </w:tcPr>
                <w:p w:rsidR="00060163" w:rsidRDefault="00060163">
                  <w:pPr>
                    <w:jc w:val="center"/>
                    <w:rPr>
                      <w:rFonts w:ascii="Arial Narrow" w:hAnsi="Arial Narrow" w:cs="Arial"/>
                      <w:b/>
                      <w:bCs/>
                    </w:rPr>
                  </w:pPr>
                  <w:bookmarkStart w:id="1" w:name="RANGE!A1:T14"/>
                  <w:r>
                    <w:rPr>
                      <w:rFonts w:ascii="Arial Narrow" w:hAnsi="Arial Narrow" w:cs="Arial"/>
                      <w:b/>
                      <w:bCs/>
                    </w:rPr>
                    <w:t xml:space="preserve">TERMO DE SOLICITAÇÃO DE PORTABILIDADE - </w:t>
                  </w:r>
                  <w:proofErr w:type="spellStart"/>
                  <w:r>
                    <w:rPr>
                      <w:rFonts w:ascii="Arial Narrow" w:hAnsi="Arial Narrow" w:cs="Arial"/>
                      <w:b/>
                      <w:bCs/>
                    </w:rPr>
                    <w:t>Large</w:t>
                  </w:r>
                  <w:proofErr w:type="spellEnd"/>
                  <w:r>
                    <w:rPr>
                      <w:rFonts w:ascii="Arial Narrow" w:hAnsi="Arial Narrow" w:cs="Arial"/>
                      <w:b/>
                      <w:bCs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rial"/>
                      <w:b/>
                      <w:bCs/>
                    </w:rPr>
                    <w:t>Accounts</w:t>
                  </w:r>
                  <w:bookmarkEnd w:id="1"/>
                  <w:proofErr w:type="spellEnd"/>
                </w:p>
              </w:tc>
            </w:tr>
          </w:tbl>
          <w:p w:rsidR="00060163" w:rsidRDefault="000601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0163" w:rsidTr="00060163">
        <w:trPr>
          <w:trHeight w:val="180"/>
        </w:trPr>
        <w:tc>
          <w:tcPr>
            <w:tcW w:w="15537" w:type="dxa"/>
            <w:gridSpan w:val="20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C9DBED"/>
            <w:vAlign w:val="center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1. Dados do Cliente</w:t>
            </w:r>
          </w:p>
        </w:tc>
      </w:tr>
      <w:tr w:rsidR="00060163" w:rsidTr="00060163">
        <w:trPr>
          <w:trHeight w:val="210"/>
        </w:trPr>
        <w:tc>
          <w:tcPr>
            <w:tcW w:w="2096" w:type="dxa"/>
            <w:gridSpan w:val="3"/>
            <w:tcBorders>
              <w:top w:val="single" w:sz="4" w:space="0" w:color="C9DBED"/>
              <w:left w:val="single" w:sz="4" w:space="0" w:color="FFFFFF"/>
              <w:bottom w:val="single" w:sz="4" w:space="0" w:color="C9DBED"/>
              <w:right w:val="nil"/>
            </w:tcBorders>
            <w:shd w:val="clear" w:color="auto" w:fill="C9DBED"/>
            <w:vAlign w:val="center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Nome / Razão Social</w:t>
            </w:r>
          </w:p>
        </w:tc>
        <w:tc>
          <w:tcPr>
            <w:tcW w:w="4237" w:type="dxa"/>
            <w:gridSpan w:val="7"/>
            <w:tcBorders>
              <w:top w:val="single" w:sz="4" w:space="0" w:color="C9DBED"/>
              <w:left w:val="nil"/>
              <w:bottom w:val="single" w:sz="4" w:space="0" w:color="C9DBED"/>
              <w:right w:val="nil"/>
            </w:tcBorders>
            <w:shd w:val="clear" w:color="auto" w:fill="auto"/>
            <w:vAlign w:val="center"/>
          </w:tcPr>
          <w:p w:rsidR="00060163" w:rsidRDefault="00060163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916" w:type="dxa"/>
            <w:gridSpan w:val="2"/>
            <w:tcBorders>
              <w:top w:val="single" w:sz="4" w:space="0" w:color="C9DBED"/>
              <w:left w:val="nil"/>
              <w:bottom w:val="single" w:sz="4" w:space="0" w:color="C9DBED"/>
              <w:right w:val="nil"/>
            </w:tcBorders>
            <w:shd w:val="clear" w:color="auto" w:fill="C9DBED"/>
            <w:vAlign w:val="center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CPF/CNPJ</w:t>
            </w:r>
          </w:p>
        </w:tc>
        <w:tc>
          <w:tcPr>
            <w:tcW w:w="2596" w:type="dxa"/>
            <w:gridSpan w:val="3"/>
            <w:tcBorders>
              <w:top w:val="single" w:sz="4" w:space="0" w:color="C9DBED"/>
              <w:left w:val="nil"/>
              <w:bottom w:val="single" w:sz="4" w:space="0" w:color="C9DBED"/>
              <w:right w:val="nil"/>
            </w:tcBorders>
            <w:shd w:val="clear" w:color="auto" w:fill="auto"/>
            <w:noWrap/>
            <w:vAlign w:val="bottom"/>
          </w:tcPr>
          <w:p w:rsidR="00060163" w:rsidRDefault="000601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92" w:type="dxa"/>
            <w:gridSpan w:val="5"/>
            <w:tcBorders>
              <w:top w:val="single" w:sz="4" w:space="0" w:color="C9DBED"/>
              <w:left w:val="nil"/>
              <w:bottom w:val="single" w:sz="4" w:space="0" w:color="C9DBED"/>
              <w:right w:val="nil"/>
            </w:tcBorders>
            <w:shd w:val="clear" w:color="auto" w:fill="C9DBED"/>
            <w:vAlign w:val="center"/>
          </w:tcPr>
          <w:p w:rsidR="00060163" w:rsidRDefault="00060163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</w:tr>
      <w:tr w:rsidR="00060163" w:rsidTr="00060163">
        <w:trPr>
          <w:trHeight w:val="210"/>
        </w:trPr>
        <w:tc>
          <w:tcPr>
            <w:tcW w:w="2375" w:type="dxa"/>
            <w:gridSpan w:val="4"/>
            <w:tcBorders>
              <w:top w:val="single" w:sz="4" w:space="0" w:color="C9DBED"/>
              <w:left w:val="single" w:sz="4" w:space="0" w:color="FFFFFF"/>
              <w:bottom w:val="single" w:sz="4" w:space="0" w:color="C9DBED"/>
              <w:right w:val="nil"/>
            </w:tcBorders>
            <w:shd w:val="clear" w:color="auto" w:fill="C9DBED"/>
            <w:vAlign w:val="center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Procurador (Adm. do Contrato</w:t>
            </w:r>
            <w:proofErr w:type="gramStart"/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)</w:t>
            </w:r>
            <w:proofErr w:type="gramEnd"/>
          </w:p>
        </w:tc>
        <w:tc>
          <w:tcPr>
            <w:tcW w:w="3958" w:type="dxa"/>
            <w:gridSpan w:val="6"/>
            <w:tcBorders>
              <w:top w:val="single" w:sz="4" w:space="0" w:color="C9DBED"/>
              <w:left w:val="nil"/>
              <w:bottom w:val="single" w:sz="4" w:space="0" w:color="C9DBED"/>
              <w:right w:val="nil"/>
            </w:tcBorders>
            <w:shd w:val="clear" w:color="auto" w:fill="auto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C9DBED"/>
              <w:right w:val="nil"/>
            </w:tcBorders>
            <w:shd w:val="clear" w:color="auto" w:fill="C9DBED"/>
            <w:vAlign w:val="center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CPF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C9DBED"/>
              <w:right w:val="nil"/>
            </w:tcBorders>
            <w:shd w:val="clear" w:color="auto" w:fill="auto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C9DBED"/>
              <w:right w:val="nil"/>
            </w:tcBorders>
            <w:shd w:val="clear" w:color="auto" w:fill="C9DBED"/>
            <w:vAlign w:val="center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RG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9DBED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9DBED"/>
              <w:right w:val="nil"/>
            </w:tcBorders>
            <w:shd w:val="clear" w:color="auto" w:fill="C9DBED"/>
            <w:vAlign w:val="center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Org. Exp.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C9DBED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C9DBED"/>
              <w:right w:val="nil"/>
            </w:tcBorders>
            <w:shd w:val="clear" w:color="auto" w:fill="C9DBED"/>
            <w:vAlign w:val="center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Estado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C9DBED"/>
              <w:right w:val="nil"/>
            </w:tcBorders>
            <w:shd w:val="clear" w:color="auto" w:fill="auto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C9DBED"/>
              <w:right w:val="nil"/>
            </w:tcBorders>
            <w:shd w:val="clear" w:color="auto" w:fill="C9DBED"/>
            <w:vAlign w:val="center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Data de Exp.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C9DBED"/>
              <w:right w:val="single" w:sz="4" w:space="0" w:color="C9DBED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</w:tr>
      <w:tr w:rsidR="00060163" w:rsidTr="00060163">
        <w:trPr>
          <w:trHeight w:val="30"/>
        </w:trPr>
        <w:tc>
          <w:tcPr>
            <w:tcW w:w="299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60163" w:rsidRDefault="000601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60163" w:rsidTr="00060163">
        <w:trPr>
          <w:trHeight w:val="225"/>
        </w:trPr>
        <w:tc>
          <w:tcPr>
            <w:tcW w:w="15537" w:type="dxa"/>
            <w:gridSpan w:val="20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C9DBED"/>
            <w:vAlign w:val="center"/>
          </w:tcPr>
          <w:p w:rsidR="00060163" w:rsidRDefault="00060163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REGULAMENTO DA PORTABILIDADE</w:t>
            </w:r>
          </w:p>
        </w:tc>
      </w:tr>
      <w:tr w:rsidR="00060163" w:rsidTr="00060163">
        <w:trPr>
          <w:trHeight w:val="4002"/>
        </w:trPr>
        <w:tc>
          <w:tcPr>
            <w:tcW w:w="15537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I. CONCEITO: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>1.1 A Portabilidade Numérica permite ao Cliente com acesso ativo levar seu número de telefone pré-pago ou pós-pago, móvel ou fixo, para outra operadora de telefonia.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>Com a Portabilidade, não é preciso alterar o número do telefone quando o Cliente mudar de operadora. A Portabilidade favorece a qualquer Cliente que deseje trazer um número fixo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 xml:space="preserve">ou móvel de qualquer operadora (exceto Nextel) para a TIM, ou atuais Clientes que desejam trocar seu número. 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 xml:space="preserve">1.2 </w:t>
            </w:r>
            <w:proofErr w:type="gramStart"/>
            <w:r>
              <w:rPr>
                <w:rFonts w:ascii="Arial Narrow" w:hAnsi="Arial Narrow" w:cs="Arial"/>
                <w:sz w:val="22"/>
                <w:szCs w:val="22"/>
              </w:rPr>
              <w:t>Será</w:t>
            </w:r>
            <w:proofErr w:type="gramEnd"/>
            <w:r>
              <w:rPr>
                <w:rFonts w:ascii="Arial Narrow" w:hAnsi="Arial Narrow" w:cs="Arial"/>
                <w:sz w:val="22"/>
                <w:szCs w:val="22"/>
              </w:rPr>
              <w:t xml:space="preserve"> possível manter o seu número telefônico ao trocar de: I. Operadoras de celular em um mesmo código de área (mesmo DDD); II. Operadoras de telefonia fixa em uma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>mesma área local; III. Endereço de telefonia fixa dentro da mesma operadora e dentro da mesma área local; IV. Plano de serviço dentro de uma mesma operadora.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 xml:space="preserve">1.3 Só </w:t>
            </w:r>
            <w:proofErr w:type="gramStart"/>
            <w:r>
              <w:rPr>
                <w:rFonts w:ascii="Arial Narrow" w:hAnsi="Arial Narrow" w:cs="Arial"/>
                <w:sz w:val="22"/>
                <w:szCs w:val="22"/>
              </w:rPr>
              <w:t>é</w:t>
            </w:r>
            <w:proofErr w:type="gramEnd"/>
            <w:r>
              <w:rPr>
                <w:rFonts w:ascii="Arial Narrow" w:hAnsi="Arial Narrow" w:cs="Arial"/>
                <w:sz w:val="22"/>
                <w:szCs w:val="22"/>
              </w:rPr>
              <w:t xml:space="preserve"> possível portar números móveis para outros números móveis e de números fixos para outros números fixos. O Cliente que deseje portar o seu número para a TIM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>deverá providenciar aparelho compatível com a tecnologia GSM, caso ainda não o possua.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>1.4 As regras gerais da Portabilidade obedecem aos critérios regulamentados pela Anatel.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>II. PEDIDO DE PORTABILIDADE: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 xml:space="preserve">2.1 O resultado do pedido de Portabilidade poderá ser satisfatório, ou não. Caso o pedido de portabilidade seja recusado pela operadora doadora do Cliente, ele deverá verificar e/ou 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>corrigir o problema na operadora doadora e solicitar novamente a Portabilidade à TIM.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>2.2 O Cliente terá o prazo de 02 (dois) dias úteis para cancelar seu pedido de Portabilidade.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>2.3 Na data marcada para Portabilidade a prestação do serviço telefônico poderá ser interrompida pelo período máximo de 02 (duas) horas.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 xml:space="preserve">2.4 O agendamento do pedido de Portabilidade dependerá da disponibilidade de data da Entidade Administradora. Não poderá haver agendamento antes do prazo de </w:t>
            </w:r>
            <w:proofErr w:type="gramStart"/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proofErr w:type="gramEnd"/>
            <w:r>
              <w:rPr>
                <w:rFonts w:ascii="Arial Narrow" w:hAnsi="Arial Narrow" w:cs="Arial"/>
                <w:sz w:val="22"/>
                <w:szCs w:val="22"/>
              </w:rPr>
              <w:t xml:space="preserve"> dias úteis,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>a partir da solicitação do usuário, prazo no qual o usuário poderá desistir do processo de portabilidade. A duração do Processo de Portabilidade, contando a partir da solicitação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 xml:space="preserve">do usuário, poderá ser de até </w:t>
            </w:r>
            <w:proofErr w:type="gramStart"/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  <w:proofErr w:type="gramEnd"/>
            <w:r>
              <w:rPr>
                <w:rFonts w:ascii="Arial Narrow" w:hAnsi="Arial Narrow" w:cs="Arial"/>
                <w:sz w:val="22"/>
                <w:szCs w:val="22"/>
              </w:rPr>
              <w:t xml:space="preserve"> dias úteis. A solicitação se dará no momento da abertura do protocolo e agendamento da portabilidade. Em casos específicos em que o cliente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>deseje o agendamento do pedido de portabilidade para uma data futura, a TIM poderá solicitar à EA tal agendamento, além do prazo regulamentar, desde que não seja superior a 90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</w:r>
            <w:proofErr w:type="gramStart"/>
            <w:r>
              <w:rPr>
                <w:rFonts w:ascii="Arial Narrow" w:hAnsi="Arial Narrow" w:cs="Arial"/>
                <w:sz w:val="22"/>
                <w:szCs w:val="22"/>
              </w:rPr>
              <w:t>(</w:t>
            </w:r>
            <w:proofErr w:type="gramEnd"/>
            <w:r>
              <w:rPr>
                <w:rFonts w:ascii="Arial Narrow" w:hAnsi="Arial Narrow" w:cs="Arial"/>
                <w:sz w:val="22"/>
                <w:szCs w:val="22"/>
              </w:rPr>
              <w:t>noventa) dias.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 xml:space="preserve">III. PORTABILIDADE NA TIM: 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 xml:space="preserve">3.1 No ato da solicitação da Portabilidade o Cliente poderá solicitar um novo número TIM associado ao seu </w:t>
            </w:r>
            <w:proofErr w:type="spellStart"/>
            <w:proofErr w:type="gramStart"/>
            <w:r>
              <w:rPr>
                <w:rFonts w:ascii="Arial Narrow" w:hAnsi="Arial Narrow" w:cs="Arial"/>
                <w:sz w:val="22"/>
                <w:szCs w:val="22"/>
              </w:rPr>
              <w:t>TIMChip</w:t>
            </w:r>
            <w:proofErr w:type="spellEnd"/>
            <w:proofErr w:type="gramEnd"/>
            <w:r>
              <w:rPr>
                <w:rFonts w:ascii="Arial Narrow" w:hAnsi="Arial Narrow" w:cs="Arial"/>
                <w:sz w:val="22"/>
                <w:szCs w:val="22"/>
              </w:rPr>
              <w:t xml:space="preserve"> (número temporário), que será posteriormente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 xml:space="preserve">substituído pelo número portado. Este número TIM deverá ser usado temporariamente até que a portabilidade seja efetivada. 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>3.1.1 Caso o Cliente tenha ativado alguma promoção no número temporário ou cadastrado seus números prediletos, os mesmos serão automaticamente migrados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>para o número portado após a efetivação da portabilidade.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>3.1.2 Nesse cenário, caso o pedido de Portabilidade não seja realizado com sucesso, o contrato do Cliente com a TIM permanecerá válido e eficaz. E o número temporário TIM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>passará a ser o número definitivo do Cliente, caso não haja mais nenhuma solicitação de Portabilidade Numérica.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 xml:space="preserve">3.1.3. O cliente concorda com o agendamento da portabilidade e a ativação do número TIM associado ao </w:t>
            </w:r>
            <w:proofErr w:type="gramStart"/>
            <w:r>
              <w:rPr>
                <w:rFonts w:ascii="Arial Narrow" w:hAnsi="Arial Narrow" w:cs="Arial"/>
                <w:sz w:val="22"/>
                <w:szCs w:val="22"/>
              </w:rPr>
              <w:t>seu TIM Chip (número temporário)</w:t>
            </w:r>
            <w:proofErr w:type="gramEnd"/>
            <w:r>
              <w:rPr>
                <w:rFonts w:ascii="Arial Narrow" w:hAnsi="Arial Narrow" w:cs="Arial"/>
                <w:sz w:val="22"/>
                <w:szCs w:val="22"/>
              </w:rPr>
              <w:t xml:space="preserve"> automaticamente pela TIM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>no momento em que a mesma tiver a confirmação da entrega do TIM Chip e/ou do aparelho ao Cliente. A ativação do número temporário e a data / horário do Agendamento da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>portabilidade serão comunicados ao Cliente através de e-mail.</w:t>
            </w:r>
          </w:p>
        </w:tc>
      </w:tr>
      <w:tr w:rsidR="00060163" w:rsidTr="00060163">
        <w:trPr>
          <w:trHeight w:val="3885"/>
        </w:trPr>
        <w:tc>
          <w:tcPr>
            <w:tcW w:w="15537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60163" w:rsidTr="00060163">
        <w:trPr>
          <w:trHeight w:val="750"/>
        </w:trPr>
        <w:tc>
          <w:tcPr>
            <w:tcW w:w="15537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60163" w:rsidTr="00060163">
        <w:trPr>
          <w:trHeight w:val="1260"/>
        </w:trPr>
        <w:tc>
          <w:tcPr>
            <w:tcW w:w="1553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C9DBED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1.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A conclusão do processo de portabilidade na data agendada acima depende da posterior validação de dados cadastrais pela operadora doadora do cliente; </w:t>
            </w:r>
            <w:proofErr w:type="gramStart"/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2</w:t>
            </w:r>
            <w:proofErr w:type="gramEnd"/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.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A data e hora prevista para portabilidade dependem de confirmação da Entidade Administradora; </w:t>
            </w:r>
            <w:proofErr w:type="gramStart"/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3</w:t>
            </w:r>
            <w:proofErr w:type="gramEnd"/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.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A partir do início do processo de portabilidade na data e hora agendada, o acesso poderá ficar mudo por até 02 (duas) horas; </w:t>
            </w:r>
            <w:proofErr w:type="gramStart"/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4</w:t>
            </w:r>
            <w:proofErr w:type="gramEnd"/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.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Eventual cancelamento do pedido de portabilidade deve ser realizado em até </w:t>
            </w:r>
            <w:proofErr w:type="gramStart"/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proofErr w:type="gramEnd"/>
            <w:r>
              <w:rPr>
                <w:rFonts w:ascii="Arial Narrow" w:hAnsi="Arial Narrow" w:cs="Arial"/>
                <w:sz w:val="22"/>
                <w:szCs w:val="22"/>
              </w:rPr>
              <w:t xml:space="preserve"> (dois) dias úteis após a data desta solicitação; 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5.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Os dados de acessos a serem portados deverão ser preenchidos no anexo contido neste documento.</w:t>
            </w:r>
          </w:p>
        </w:tc>
      </w:tr>
      <w:tr w:rsidR="00060163" w:rsidTr="00060163">
        <w:trPr>
          <w:trHeight w:val="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60163" w:rsidRDefault="0006016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</w:tr>
      <w:tr w:rsidR="00060163" w:rsidTr="00060163">
        <w:trPr>
          <w:trHeight w:val="330"/>
        </w:trPr>
        <w:tc>
          <w:tcPr>
            <w:tcW w:w="1553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C9DBED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O Cliente declara estar de acordo com os termos do Regulamento da Portabilidade recebido neste ato.</w:t>
            </w:r>
          </w:p>
        </w:tc>
      </w:tr>
      <w:tr w:rsidR="00060163" w:rsidTr="00060163">
        <w:trPr>
          <w:trHeight w:val="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060163" w:rsidTr="00060163">
        <w:trPr>
          <w:trHeight w:val="2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C9DBED"/>
            <w:vAlign w:val="center"/>
          </w:tcPr>
          <w:p w:rsidR="00060163" w:rsidRDefault="000601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single" w:sz="4" w:space="0" w:color="C9DBED"/>
              <w:left w:val="single" w:sz="4" w:space="0" w:color="C9DBED"/>
              <w:bottom w:val="single" w:sz="4" w:space="0" w:color="C9DBED"/>
              <w:right w:val="single" w:sz="4" w:space="0" w:color="C9DBED"/>
            </w:tcBorders>
            <w:shd w:val="clear" w:color="auto" w:fill="C9DBED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Local</w:t>
            </w:r>
          </w:p>
        </w:tc>
        <w:tc>
          <w:tcPr>
            <w:tcW w:w="2515" w:type="dxa"/>
            <w:gridSpan w:val="3"/>
            <w:tcBorders>
              <w:top w:val="single" w:sz="4" w:space="0" w:color="C9DBED"/>
              <w:left w:val="nil"/>
              <w:bottom w:val="single" w:sz="4" w:space="0" w:color="C9DBED"/>
              <w:right w:val="single" w:sz="4" w:space="0" w:color="C9DBED"/>
            </w:tcBorders>
            <w:shd w:val="clear" w:color="auto" w:fill="FFFFFF"/>
            <w:vAlign w:val="center"/>
          </w:tcPr>
          <w:p w:rsidR="00060163" w:rsidRDefault="00060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C9DBED"/>
              <w:left w:val="nil"/>
              <w:bottom w:val="single" w:sz="4" w:space="0" w:color="C9DBED"/>
              <w:right w:val="single" w:sz="4" w:space="0" w:color="C9DBED"/>
            </w:tcBorders>
            <w:shd w:val="clear" w:color="auto" w:fill="C9DBED"/>
            <w:vAlign w:val="center"/>
          </w:tcPr>
          <w:p w:rsidR="00060163" w:rsidRDefault="0006016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Data</w:t>
            </w:r>
          </w:p>
        </w:tc>
        <w:tc>
          <w:tcPr>
            <w:tcW w:w="1442" w:type="dxa"/>
            <w:gridSpan w:val="3"/>
            <w:tcBorders>
              <w:top w:val="single" w:sz="4" w:space="0" w:color="C9DBED"/>
              <w:left w:val="nil"/>
              <w:bottom w:val="single" w:sz="4" w:space="0" w:color="C9DBED"/>
              <w:right w:val="single" w:sz="4" w:space="0" w:color="C9DBED"/>
            </w:tcBorders>
            <w:shd w:val="clear" w:color="auto" w:fill="FFFFFF"/>
            <w:noWrap/>
            <w:vAlign w:val="bottom"/>
          </w:tcPr>
          <w:p w:rsidR="00060163" w:rsidRDefault="00060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95" w:type="dxa"/>
            <w:gridSpan w:val="3"/>
            <w:tcBorders>
              <w:top w:val="single" w:sz="4" w:space="0" w:color="C9DBED"/>
              <w:left w:val="nil"/>
              <w:bottom w:val="single" w:sz="4" w:space="0" w:color="C9DBED"/>
              <w:right w:val="single" w:sz="4" w:space="0" w:color="C9DBED"/>
            </w:tcBorders>
            <w:shd w:val="clear" w:color="auto" w:fill="C9DBED"/>
            <w:vAlign w:val="center"/>
          </w:tcPr>
          <w:p w:rsidR="00060163" w:rsidRDefault="0006016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CLIENTE (Procurador)</w:t>
            </w:r>
          </w:p>
        </w:tc>
        <w:tc>
          <w:tcPr>
            <w:tcW w:w="7288" w:type="dxa"/>
            <w:gridSpan w:val="8"/>
            <w:tcBorders>
              <w:top w:val="single" w:sz="4" w:space="0" w:color="C9DBED"/>
              <w:left w:val="nil"/>
              <w:bottom w:val="single" w:sz="4" w:space="0" w:color="C9DBED"/>
              <w:right w:val="single" w:sz="4" w:space="0" w:color="C9DBED"/>
            </w:tcBorders>
            <w:shd w:val="clear" w:color="auto" w:fill="FFFFFF"/>
            <w:noWrap/>
            <w:vAlign w:val="bottom"/>
          </w:tcPr>
          <w:p w:rsidR="00060163" w:rsidRDefault="00060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060163" w:rsidRDefault="00060163">
      <w:r>
        <w:t xml:space="preserve">  </w:t>
      </w:r>
    </w:p>
    <w:sectPr w:rsidR="00060163" w:rsidSect="00060163">
      <w:pgSz w:w="16840" w:h="14175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163"/>
    <w:rsid w:val="00060163"/>
    <w:rsid w:val="00632629"/>
    <w:rsid w:val="008A0F30"/>
    <w:rsid w:val="00AA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0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730</Words>
  <Characters>3944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TIM SUL S/A</Company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t3187265</dc:creator>
  <cp:lastModifiedBy>AMANDA SANTANNA CAETANO ROMANO GIRON</cp:lastModifiedBy>
  <cp:revision>2</cp:revision>
  <dcterms:created xsi:type="dcterms:W3CDTF">2012-09-17T14:14:00Z</dcterms:created>
  <dcterms:modified xsi:type="dcterms:W3CDTF">2012-09-17T14:14:00Z</dcterms:modified>
</cp:coreProperties>
</file>